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33834" w14:textId="48E0BE47" w:rsidR="00B47630" w:rsidRPr="000C11B2" w:rsidRDefault="009C041D" w:rsidP="00E1187F">
      <w:pPr>
        <w:bidi/>
        <w:spacing w:before="120" w:after="120" w:line="360" w:lineRule="auto"/>
        <w:jc w:val="center"/>
        <w:rPr>
          <w:rFonts w:ascii="David" w:hAnsi="David" w:cs="David"/>
          <w:b/>
          <w:bCs/>
          <w:sz w:val="26"/>
          <w:szCs w:val="26"/>
          <w:u w:val="single"/>
          <w:rtl/>
        </w:rPr>
      </w:pPr>
      <w:r w:rsidRPr="000C11B2">
        <w:rPr>
          <w:rFonts w:ascii="David" w:hAnsi="David" w:cs="David"/>
          <w:sz w:val="26"/>
          <w:szCs w:val="26"/>
          <w:u w:val="single"/>
          <w:rtl/>
        </w:rPr>
        <w:t xml:space="preserve">הודעה על מתן ארכה לתחולת </w:t>
      </w:r>
      <w:r w:rsidR="00292715" w:rsidRPr="000C11B2">
        <w:rPr>
          <w:rFonts w:ascii="David" w:hAnsi="David" w:cs="David"/>
          <w:sz w:val="26"/>
          <w:szCs w:val="26"/>
          <w:u w:val="single"/>
          <w:rtl/>
        </w:rPr>
        <w:t>כללי קידום התחרות בענף המזון</w:t>
      </w:r>
      <w:r w:rsidRPr="000C11B2">
        <w:rPr>
          <w:rFonts w:ascii="David" w:hAnsi="David" w:cs="David"/>
          <w:sz w:val="26"/>
          <w:szCs w:val="26"/>
          <w:u w:val="single"/>
          <w:rtl/>
        </w:rPr>
        <w:t xml:space="preserve"> </w:t>
      </w:r>
      <w:r w:rsidR="00292715" w:rsidRPr="000C11B2">
        <w:rPr>
          <w:rFonts w:ascii="David" w:hAnsi="David" w:cs="David"/>
          <w:sz w:val="26"/>
          <w:szCs w:val="26"/>
          <w:u w:val="single"/>
          <w:rtl/>
        </w:rPr>
        <w:t xml:space="preserve">(פטור לפעולות ולהסדרים שעניינם סידור מצרכים בחנות של קמעונאי גדול) </w:t>
      </w:r>
      <w:r w:rsidRPr="000C11B2">
        <w:rPr>
          <w:rFonts w:ascii="David" w:hAnsi="David" w:cs="David"/>
          <w:sz w:val="26"/>
          <w:szCs w:val="26"/>
          <w:u w:val="single"/>
          <w:rtl/>
        </w:rPr>
        <w:t>(הוראת שעה</w:t>
      </w:r>
      <w:r w:rsidR="001B22D5" w:rsidRPr="000C11B2">
        <w:rPr>
          <w:rFonts w:ascii="David" w:hAnsi="David" w:cs="David"/>
          <w:sz w:val="26"/>
          <w:szCs w:val="26"/>
          <w:u w:val="single"/>
          <w:rtl/>
        </w:rPr>
        <w:t>)</w:t>
      </w:r>
      <w:r w:rsidRPr="000C11B2">
        <w:rPr>
          <w:rFonts w:ascii="David" w:hAnsi="David" w:cs="David"/>
          <w:sz w:val="26"/>
          <w:szCs w:val="26"/>
          <w:u w:val="single"/>
          <w:rtl/>
        </w:rPr>
        <w:t xml:space="preserve"> </w:t>
      </w:r>
      <w:r w:rsidR="00B37134">
        <w:rPr>
          <w:rFonts w:ascii="David" w:hAnsi="David" w:cs="David"/>
          <w:sz w:val="26"/>
          <w:szCs w:val="26"/>
          <w:u w:val="single"/>
          <w:rtl/>
        </w:rPr>
        <w:t>–</w:t>
      </w:r>
      <w:r w:rsidRPr="000C11B2">
        <w:rPr>
          <w:rFonts w:ascii="David" w:hAnsi="David" w:cs="David"/>
          <w:sz w:val="26"/>
          <w:szCs w:val="26"/>
          <w:u w:val="single"/>
          <w:rtl/>
        </w:rPr>
        <w:t xml:space="preserve"> תש</w:t>
      </w:r>
      <w:r w:rsidR="00B37134">
        <w:rPr>
          <w:rFonts w:ascii="David" w:hAnsi="David" w:cs="David" w:hint="cs"/>
          <w:sz w:val="26"/>
          <w:szCs w:val="26"/>
          <w:u w:val="single"/>
          <w:rtl/>
        </w:rPr>
        <w:t xml:space="preserve">פ"ד </w:t>
      </w:r>
      <w:r w:rsidR="00B37134">
        <w:rPr>
          <w:rFonts w:ascii="David" w:hAnsi="David" w:cs="David"/>
          <w:sz w:val="26"/>
          <w:szCs w:val="26"/>
          <w:u w:val="single"/>
          <w:rtl/>
        </w:rPr>
        <w:t>–</w:t>
      </w:r>
      <w:r w:rsidRPr="000C11B2">
        <w:rPr>
          <w:rFonts w:ascii="David" w:hAnsi="David" w:cs="David"/>
          <w:sz w:val="26"/>
          <w:szCs w:val="26"/>
          <w:u w:val="single"/>
          <w:rtl/>
        </w:rPr>
        <w:t xml:space="preserve"> </w:t>
      </w:r>
      <w:r w:rsidR="00B37134">
        <w:rPr>
          <w:rFonts w:ascii="David" w:hAnsi="David" w:cs="David" w:hint="cs"/>
          <w:sz w:val="26"/>
          <w:szCs w:val="26"/>
          <w:u w:val="single"/>
          <w:rtl/>
        </w:rPr>
        <w:t>2024</w:t>
      </w:r>
      <w:r w:rsidR="00B37134" w:rsidRPr="000C11B2">
        <w:rPr>
          <w:rFonts w:ascii="David" w:hAnsi="David" w:cs="David"/>
          <w:b/>
          <w:bCs/>
          <w:sz w:val="26"/>
          <w:szCs w:val="26"/>
          <w:u w:val="single"/>
          <w:rtl/>
        </w:rPr>
        <w:t xml:space="preserve"> </w:t>
      </w:r>
      <w:r w:rsidR="001B22D5" w:rsidRPr="000C11B2">
        <w:rPr>
          <w:rFonts w:ascii="David" w:hAnsi="David" w:cs="David"/>
          <w:sz w:val="26"/>
          <w:szCs w:val="26"/>
          <w:u w:val="single"/>
          <w:rtl/>
        </w:rPr>
        <w:t xml:space="preserve">ביחס </w:t>
      </w:r>
      <w:r w:rsidR="009B11AB">
        <w:rPr>
          <w:rFonts w:ascii="David" w:hAnsi="David" w:cs="David" w:hint="cs"/>
          <w:sz w:val="26"/>
          <w:szCs w:val="26"/>
          <w:u w:val="single"/>
          <w:rtl/>
        </w:rPr>
        <w:t>לחלב ומוצריו</w:t>
      </w:r>
      <w:r w:rsidR="001B22D5" w:rsidRPr="000C11B2">
        <w:rPr>
          <w:rFonts w:ascii="David" w:hAnsi="David" w:cs="David"/>
          <w:sz w:val="26"/>
          <w:szCs w:val="26"/>
          <w:u w:val="single"/>
          <w:rtl/>
        </w:rPr>
        <w:t xml:space="preserve"> בלבד</w:t>
      </w:r>
    </w:p>
    <w:p w14:paraId="687EEBE4" w14:textId="77777777" w:rsidR="004A7C98" w:rsidRPr="000C11B2" w:rsidRDefault="004A7C98" w:rsidP="004A7C98">
      <w:pPr>
        <w:pStyle w:val="ListParagraph"/>
        <w:numPr>
          <w:ilvl w:val="0"/>
          <w:numId w:val="7"/>
        </w:numPr>
        <w:spacing w:line="360" w:lineRule="auto"/>
        <w:contextualSpacing w:val="0"/>
        <w:jc w:val="both"/>
        <w:rPr>
          <w:rFonts w:ascii="David" w:hAnsi="David" w:cs="David"/>
          <w:color w:val="272727"/>
          <w:sz w:val="24"/>
          <w:szCs w:val="24"/>
          <w:rtl/>
        </w:rPr>
      </w:pPr>
      <w:r w:rsidRPr="000C11B2">
        <w:rPr>
          <w:rFonts w:ascii="David" w:hAnsi="David" w:cs="David"/>
          <w:color w:val="272727"/>
          <w:sz w:val="24"/>
          <w:szCs w:val="24"/>
          <w:rtl/>
        </w:rPr>
        <w:t>סעיפים 7(א)(1) ו – 7(א)(2) לחוק קידום התחרות בענף המזון, תשע"ד- 2014 ("</w:t>
      </w:r>
      <w:r w:rsidRPr="000C11B2">
        <w:rPr>
          <w:rFonts w:ascii="David" w:hAnsi="David" w:cs="David"/>
          <w:b/>
          <w:bCs/>
          <w:color w:val="272727"/>
          <w:sz w:val="24"/>
          <w:szCs w:val="24"/>
          <w:rtl/>
        </w:rPr>
        <w:t>חוק המזון</w:t>
      </w:r>
      <w:r w:rsidRPr="000C11B2">
        <w:rPr>
          <w:rFonts w:ascii="David" w:hAnsi="David" w:cs="David"/>
          <w:color w:val="272727"/>
          <w:sz w:val="24"/>
          <w:szCs w:val="24"/>
          <w:rtl/>
        </w:rPr>
        <w:t xml:space="preserve">"), אוסרים על ספק גדול לעסוק או להתערב בסידור מצרכים אצל קמעונאי גדול הנכלל ברשימה, </w:t>
      </w:r>
      <w:r w:rsidRPr="000C11B2">
        <w:rPr>
          <w:rFonts w:ascii="David" w:eastAsia="Times New Roman" w:hAnsi="David" w:cs="David"/>
          <w:sz w:val="24"/>
          <w:szCs w:val="24"/>
          <w:rtl/>
        </w:rPr>
        <w:t>להמליץ או להתערב בכל דרך אחרת בעניין סידור המצרכים</w:t>
      </w:r>
      <w:r w:rsidRPr="000C11B2">
        <w:rPr>
          <w:rFonts w:ascii="David" w:hAnsi="David" w:cs="David"/>
          <w:color w:val="272727"/>
          <w:sz w:val="24"/>
          <w:szCs w:val="24"/>
          <w:rtl/>
        </w:rPr>
        <w:t xml:space="preserve"> וכן אוסרים על קמעונאי גדול להיות צד להסדר עם ספק גדול הנכלל ברשימה הנוגע לסידור מצרכים בחנותו ("</w:t>
      </w:r>
      <w:r w:rsidRPr="000C11B2">
        <w:rPr>
          <w:rFonts w:ascii="David" w:hAnsi="David" w:cs="David"/>
          <w:b/>
          <w:bCs/>
          <w:color w:val="272727"/>
          <w:sz w:val="24"/>
          <w:szCs w:val="24"/>
          <w:rtl/>
        </w:rPr>
        <w:t>איסור הסדרנות</w:t>
      </w:r>
      <w:r w:rsidRPr="000C11B2">
        <w:rPr>
          <w:rFonts w:ascii="David" w:hAnsi="David" w:cs="David"/>
          <w:color w:val="272727"/>
          <w:sz w:val="24"/>
          <w:szCs w:val="24"/>
          <w:rtl/>
        </w:rPr>
        <w:t xml:space="preserve">"). </w:t>
      </w:r>
    </w:p>
    <w:p w14:paraId="682C70DA" w14:textId="7E971AEE" w:rsidR="004A7C98" w:rsidRPr="000C11B2" w:rsidRDefault="004A7C98" w:rsidP="004A7C98">
      <w:pPr>
        <w:pStyle w:val="ListParagraph"/>
        <w:numPr>
          <w:ilvl w:val="0"/>
          <w:numId w:val="7"/>
        </w:numPr>
        <w:spacing w:line="360" w:lineRule="auto"/>
        <w:contextualSpacing w:val="0"/>
        <w:jc w:val="both"/>
        <w:rPr>
          <w:rFonts w:ascii="David" w:hAnsi="David" w:cs="David"/>
          <w:color w:val="272727"/>
          <w:sz w:val="24"/>
          <w:szCs w:val="24"/>
        </w:rPr>
      </w:pPr>
      <w:r w:rsidRPr="000C11B2">
        <w:rPr>
          <w:rFonts w:ascii="David" w:hAnsi="David" w:cs="David"/>
          <w:color w:val="272727"/>
          <w:sz w:val="24"/>
          <w:szCs w:val="24"/>
          <w:rtl/>
        </w:rPr>
        <w:t xml:space="preserve">התחרות בין ספקי המזון על לבו של הצרכן מתבססת על נוכחות של מצרכי המתחרים השונים בשטחי התצוגה אצל הקמעונאים. להתערבות של ספק אצל קמעונאי לגבי תנאי מסחר של ספקים אחרים, או לגבי היקף נוכחות מוצריהם על מדפי החנות, יש השלכות על התחרות ועל המחירים לצרכן. התערבות של הספק הגדול בסידור מצרכים טומנת בחובה פוטנציאל ליצירת כוח שוק בידי הספק המתערב, על ידי דחיקת מוצרי המתחרים ממדפי הקמעונאי. </w:t>
      </w:r>
    </w:p>
    <w:p w14:paraId="6A41D9E4" w14:textId="3886E452" w:rsidR="004A7C98" w:rsidRPr="000C11B2" w:rsidRDefault="004A7C98" w:rsidP="009B0637">
      <w:pPr>
        <w:pStyle w:val="ListParagraph"/>
        <w:numPr>
          <w:ilvl w:val="0"/>
          <w:numId w:val="7"/>
        </w:numPr>
        <w:spacing w:line="360" w:lineRule="auto"/>
        <w:contextualSpacing w:val="0"/>
        <w:jc w:val="both"/>
        <w:rPr>
          <w:rFonts w:ascii="David" w:hAnsi="David" w:cs="David"/>
          <w:color w:val="272727"/>
          <w:sz w:val="24"/>
          <w:szCs w:val="24"/>
          <w:rtl/>
        </w:rPr>
      </w:pPr>
      <w:r w:rsidRPr="000C11B2">
        <w:rPr>
          <w:rFonts w:ascii="David" w:hAnsi="David" w:cs="David"/>
          <w:color w:val="272727"/>
          <w:sz w:val="24"/>
          <w:szCs w:val="24"/>
          <w:shd w:val="clear" w:color="auto" w:fill="FFFFFF"/>
          <w:rtl/>
        </w:rPr>
        <w:t>בקטגוריות רבות בענף המזון מספר הספקים הוא מצומצם יחסית ומידת הריכוזיות בהן היא רבה.</w:t>
      </w:r>
      <w:r w:rsidR="00A73C49">
        <w:rPr>
          <w:rFonts w:ascii="David" w:hAnsi="David" w:cs="David" w:hint="cs"/>
          <w:color w:val="272727"/>
          <w:sz w:val="24"/>
          <w:szCs w:val="24"/>
          <w:shd w:val="clear" w:color="auto" w:fill="FFFFFF"/>
          <w:rtl/>
        </w:rPr>
        <w:t xml:space="preserve"> </w:t>
      </w:r>
      <w:r w:rsidRPr="000C11B2">
        <w:rPr>
          <w:rFonts w:ascii="David" w:hAnsi="David" w:cs="David"/>
          <w:color w:val="272727"/>
          <w:sz w:val="24"/>
          <w:szCs w:val="24"/>
          <w:shd w:val="clear" w:color="auto" w:fill="FFFFFF"/>
          <w:rtl/>
        </w:rPr>
        <w:t>קיים חשש ששליטה של ספק גדול בסידור המוצרים במדף תביא להפחתת התחרות ותקשה על כניסתם של ספקים קטנים לחנויות.</w:t>
      </w:r>
    </w:p>
    <w:p w14:paraId="7B50E9A0" w14:textId="77777777" w:rsidR="004A7C98" w:rsidRPr="000C11B2" w:rsidRDefault="004A7C98" w:rsidP="004A7C98">
      <w:pPr>
        <w:pStyle w:val="ListParagraph"/>
        <w:numPr>
          <w:ilvl w:val="0"/>
          <w:numId w:val="7"/>
        </w:numPr>
        <w:spacing w:line="360" w:lineRule="auto"/>
        <w:contextualSpacing w:val="0"/>
        <w:jc w:val="both"/>
        <w:rPr>
          <w:rFonts w:ascii="David" w:hAnsi="David" w:cs="David"/>
          <w:color w:val="272727"/>
          <w:sz w:val="24"/>
          <w:szCs w:val="24"/>
          <w:shd w:val="clear" w:color="auto" w:fill="FFFFFF"/>
        </w:rPr>
      </w:pPr>
      <w:r w:rsidRPr="000C11B2">
        <w:rPr>
          <w:rFonts w:ascii="David" w:hAnsi="David" w:cs="David"/>
          <w:color w:val="272727"/>
          <w:sz w:val="24"/>
          <w:szCs w:val="24"/>
          <w:rtl/>
        </w:rPr>
        <w:t>איסור הסדרנות נועד על מנת למנוע התערבות של הספקים הגדולים בסידור מדפי הקמעונאים ולוודא שספקים קטנים מצליחים להגיע למדפים בחנויות כך שתתקיים תחרות בין הספקים השונים על לבו של הצרכן ללא אפשרות להתערבות מצד גופים עסקיים חזקים שאינם מעוניינים בקיומה של תחרות מצד הספקים הקטנים.</w:t>
      </w:r>
      <w:r w:rsidRPr="000C11B2">
        <w:rPr>
          <w:rFonts w:ascii="David" w:hAnsi="David" w:cs="David"/>
          <w:color w:val="272727"/>
          <w:sz w:val="24"/>
          <w:szCs w:val="24"/>
          <w:shd w:val="clear" w:color="auto" w:fill="FFFFFF"/>
          <w:rtl/>
        </w:rPr>
        <w:t xml:space="preserve"> </w:t>
      </w:r>
    </w:p>
    <w:p w14:paraId="6A1F8B3F" w14:textId="77777777" w:rsidR="004A7C98" w:rsidRPr="000C11B2" w:rsidRDefault="004A7C98" w:rsidP="004A7C98">
      <w:pPr>
        <w:pStyle w:val="ListParagraph"/>
        <w:numPr>
          <w:ilvl w:val="0"/>
          <w:numId w:val="7"/>
        </w:numPr>
        <w:spacing w:line="360" w:lineRule="auto"/>
        <w:contextualSpacing w:val="0"/>
        <w:jc w:val="both"/>
        <w:rPr>
          <w:rFonts w:ascii="David" w:hAnsi="David" w:cs="David"/>
          <w:color w:val="272727"/>
          <w:sz w:val="24"/>
          <w:szCs w:val="24"/>
          <w:shd w:val="clear" w:color="auto" w:fill="FFFFFF"/>
          <w:rtl/>
        </w:rPr>
      </w:pPr>
      <w:r w:rsidRPr="000C11B2">
        <w:rPr>
          <w:rFonts w:ascii="David" w:hAnsi="David" w:cs="David"/>
          <w:sz w:val="24"/>
          <w:szCs w:val="24"/>
          <w:rtl/>
        </w:rPr>
        <w:t>כללי קידום התחרות בענף המזון, (פטור לפעולות ולהסדרים שעניינם סידור מצרכים בחנות של קמעונאי גדול (הוראת שעה), תשפ"ד – 2024 ("</w:t>
      </w:r>
      <w:r w:rsidRPr="000C11B2">
        <w:rPr>
          <w:rFonts w:ascii="David" w:hAnsi="David" w:cs="David"/>
          <w:b/>
          <w:bCs/>
          <w:sz w:val="24"/>
          <w:szCs w:val="24"/>
          <w:rtl/>
        </w:rPr>
        <w:t>הפטור הנוכחי</w:t>
      </w:r>
      <w:r w:rsidRPr="000C11B2">
        <w:rPr>
          <w:rFonts w:ascii="David" w:hAnsi="David" w:cs="David"/>
          <w:sz w:val="24"/>
          <w:szCs w:val="24"/>
          <w:rtl/>
        </w:rPr>
        <w:t>"), עומדים בתוקפם עד ליום 31.12.2024 ומאפשרים לספקים גדולים לסדר את מצרכיהם על המדפים של קמעונאים גדולים בכפוף להתקיימותם של שלושה תנאים:</w:t>
      </w:r>
    </w:p>
    <w:p w14:paraId="572DCDEC" w14:textId="33A3E9F7" w:rsidR="004A7C98" w:rsidRPr="000C11B2" w:rsidRDefault="004A7C98" w:rsidP="004A7C98">
      <w:pPr>
        <w:pStyle w:val="ListParagraph"/>
        <w:numPr>
          <w:ilvl w:val="0"/>
          <w:numId w:val="8"/>
        </w:numPr>
        <w:spacing w:after="0" w:line="360" w:lineRule="auto"/>
        <w:ind w:left="1077" w:hanging="357"/>
        <w:jc w:val="both"/>
        <w:rPr>
          <w:rFonts w:ascii="David" w:hAnsi="David" w:cs="David"/>
          <w:sz w:val="24"/>
          <w:szCs w:val="24"/>
        </w:rPr>
      </w:pPr>
      <w:r w:rsidRPr="000C11B2">
        <w:rPr>
          <w:rFonts w:ascii="David" w:hAnsi="David" w:cs="David"/>
          <w:sz w:val="24"/>
          <w:szCs w:val="24"/>
          <w:rtl/>
        </w:rPr>
        <w:t>סידור המצרכים נעשה לפי הוראות הקמעונאי על פי תכנית כתובה ומפורטת לסידור שטחי מכירה (</w:t>
      </w:r>
      <w:proofErr w:type="spellStart"/>
      <w:r w:rsidRPr="000C11B2">
        <w:rPr>
          <w:rFonts w:ascii="David" w:hAnsi="David" w:cs="David"/>
          <w:sz w:val="24"/>
          <w:szCs w:val="24"/>
          <w:rtl/>
        </w:rPr>
        <w:t>פלנוגרמה</w:t>
      </w:r>
      <w:proofErr w:type="spellEnd"/>
      <w:r w:rsidRPr="000C11B2">
        <w:rPr>
          <w:rFonts w:ascii="David" w:hAnsi="David" w:cs="David"/>
          <w:sz w:val="24"/>
          <w:szCs w:val="24"/>
          <w:rtl/>
        </w:rPr>
        <w:t>)</w:t>
      </w:r>
      <w:r w:rsidR="007B79AA">
        <w:rPr>
          <w:rFonts w:ascii="David" w:hAnsi="David" w:cs="David" w:hint="cs"/>
          <w:sz w:val="24"/>
          <w:szCs w:val="24"/>
          <w:rtl/>
        </w:rPr>
        <w:t>;</w:t>
      </w:r>
    </w:p>
    <w:p w14:paraId="1341AF01" w14:textId="44D3FA1B" w:rsidR="004A7C98" w:rsidRPr="000C11B2" w:rsidRDefault="004A7C98" w:rsidP="004A7C98">
      <w:pPr>
        <w:pStyle w:val="ListParagraph"/>
        <w:numPr>
          <w:ilvl w:val="0"/>
          <w:numId w:val="8"/>
        </w:numPr>
        <w:spacing w:line="360" w:lineRule="auto"/>
        <w:ind w:left="1077" w:hanging="357"/>
        <w:jc w:val="both"/>
        <w:rPr>
          <w:rFonts w:ascii="David" w:hAnsi="David" w:cs="David"/>
          <w:color w:val="272727"/>
          <w:sz w:val="24"/>
          <w:szCs w:val="24"/>
          <w:rtl/>
        </w:rPr>
      </w:pPr>
      <w:r w:rsidRPr="000C11B2">
        <w:rPr>
          <w:rFonts w:ascii="David" w:hAnsi="David" w:cs="David"/>
          <w:color w:val="272727"/>
          <w:sz w:val="24"/>
          <w:szCs w:val="24"/>
          <w:rtl/>
        </w:rPr>
        <w:t>הספק הגדול מסדר רק את המצרכים שלו ולא מצרכים של ספקים אחרים</w:t>
      </w:r>
      <w:r w:rsidR="007B79AA">
        <w:rPr>
          <w:rFonts w:ascii="David" w:hAnsi="David" w:cs="David" w:hint="cs"/>
          <w:color w:val="272727"/>
          <w:sz w:val="24"/>
          <w:szCs w:val="24"/>
          <w:rtl/>
        </w:rPr>
        <w:t>;</w:t>
      </w:r>
    </w:p>
    <w:p w14:paraId="59E36BCA" w14:textId="77777777" w:rsidR="004A7C98" w:rsidRPr="000C11B2" w:rsidRDefault="004A7C98" w:rsidP="004A7C98">
      <w:pPr>
        <w:pStyle w:val="ListParagraph"/>
        <w:numPr>
          <w:ilvl w:val="0"/>
          <w:numId w:val="8"/>
        </w:numPr>
        <w:spacing w:line="360" w:lineRule="auto"/>
        <w:ind w:left="1077" w:hanging="357"/>
        <w:jc w:val="both"/>
        <w:rPr>
          <w:rFonts w:ascii="David" w:hAnsi="David" w:cs="David"/>
          <w:color w:val="272727"/>
          <w:sz w:val="24"/>
          <w:szCs w:val="24"/>
        </w:rPr>
      </w:pPr>
      <w:r w:rsidRPr="000C11B2">
        <w:rPr>
          <w:rFonts w:ascii="David" w:hAnsi="David" w:cs="David"/>
          <w:color w:val="272727"/>
          <w:sz w:val="24"/>
          <w:szCs w:val="24"/>
          <w:rtl/>
        </w:rPr>
        <w:t>הקמעונאי הגדול מפקח באופן שוטף שמעורבות הספק הגדול אינה חורגת מהתנאים שלעיל.</w:t>
      </w:r>
    </w:p>
    <w:p w14:paraId="04AB0798" w14:textId="77777777" w:rsidR="004A7C98" w:rsidRPr="000C11B2" w:rsidRDefault="004A7C98" w:rsidP="004A7C98">
      <w:pPr>
        <w:pStyle w:val="ListParagraph"/>
        <w:spacing w:line="360" w:lineRule="auto"/>
        <w:ind w:left="1077"/>
        <w:jc w:val="both"/>
        <w:rPr>
          <w:rFonts w:ascii="David" w:hAnsi="David" w:cs="David"/>
          <w:color w:val="272727"/>
          <w:sz w:val="24"/>
          <w:szCs w:val="24"/>
          <w:rtl/>
        </w:rPr>
      </w:pPr>
    </w:p>
    <w:p w14:paraId="304EF237" w14:textId="33CA8737" w:rsidR="004A7C98" w:rsidRPr="000C11B2" w:rsidRDefault="00A73C49" w:rsidP="004A7C98">
      <w:pPr>
        <w:pStyle w:val="ListParagraph"/>
        <w:numPr>
          <w:ilvl w:val="0"/>
          <w:numId w:val="7"/>
        </w:numPr>
        <w:spacing w:line="360" w:lineRule="auto"/>
        <w:contextualSpacing w:val="0"/>
        <w:jc w:val="both"/>
        <w:rPr>
          <w:rFonts w:ascii="David" w:hAnsi="David" w:cs="David"/>
          <w:color w:val="272727"/>
          <w:sz w:val="24"/>
          <w:szCs w:val="24"/>
          <w:rtl/>
        </w:rPr>
      </w:pPr>
      <w:r>
        <w:rPr>
          <w:rFonts w:ascii="David" w:hAnsi="David" w:cs="David" w:hint="cs"/>
          <w:color w:val="272727"/>
          <w:sz w:val="24"/>
          <w:szCs w:val="24"/>
          <w:rtl/>
        </w:rPr>
        <w:t>נוכח</w:t>
      </w:r>
      <w:r w:rsidRPr="000C11B2">
        <w:rPr>
          <w:rFonts w:ascii="David" w:hAnsi="David" w:cs="David"/>
          <w:color w:val="272727"/>
          <w:sz w:val="24"/>
          <w:szCs w:val="24"/>
          <w:rtl/>
        </w:rPr>
        <w:t xml:space="preserve"> </w:t>
      </w:r>
      <w:r w:rsidR="004A7C98" w:rsidRPr="000C11B2">
        <w:rPr>
          <w:rFonts w:ascii="David" w:hAnsi="David" w:cs="David"/>
          <w:color w:val="272727"/>
          <w:sz w:val="24"/>
          <w:szCs w:val="24"/>
          <w:rtl/>
        </w:rPr>
        <w:t xml:space="preserve">הריכוזיות הגבוהה בתחום ספקי המזון והחשש התחרותי הנובע מסידור מצרכים על ידי ספקים גדולים, ולאחר הליך ציבורי ארוך ומעמיק, שכלל קול קורא, שיחות עם גורמים בענף וחשיבה פנימית על האסדרה הרצויה, הגיעה הממונה על התחרות למסקנה כי פטור הסדרנות הנוכחי אינו מפיג את החשש מהפעלת כוח של הספקים הגדולים ונדרש מנגנון שיבטיח מחד את הגברת התחרות בין ספקי המזון ומאידך יאפשר לקמעונאים שמקיימים את תכלית החוק, היינו שהיקף המכר של מוצרי ספקים קטנים ברשת השיווק שלהם הוא משמעותי, להיעזר בשירותי הסדרנות שמציעים הספקים הגדולים על מנת למנוע מהם את הנטל הכרוך בכך. </w:t>
      </w:r>
    </w:p>
    <w:p w14:paraId="5FAEF0F6" w14:textId="132EABE3" w:rsidR="004A7C98" w:rsidRPr="000C11B2" w:rsidRDefault="004A7C98" w:rsidP="004A7C98">
      <w:pPr>
        <w:pStyle w:val="ListParagraph"/>
        <w:numPr>
          <w:ilvl w:val="0"/>
          <w:numId w:val="7"/>
        </w:numPr>
        <w:spacing w:before="120" w:after="120" w:line="360" w:lineRule="auto"/>
        <w:contextualSpacing w:val="0"/>
        <w:jc w:val="both"/>
        <w:rPr>
          <w:rFonts w:ascii="David" w:hAnsi="David" w:cs="David"/>
          <w:color w:val="272727"/>
          <w:sz w:val="24"/>
          <w:szCs w:val="24"/>
          <w:shd w:val="clear" w:color="auto" w:fill="FFFFFF"/>
        </w:rPr>
      </w:pPr>
      <w:r w:rsidRPr="000C11B2">
        <w:rPr>
          <w:rFonts w:ascii="David" w:hAnsi="David" w:cs="David"/>
          <w:color w:val="272727"/>
          <w:sz w:val="24"/>
          <w:szCs w:val="24"/>
          <w:shd w:val="clear" w:color="auto" w:fill="FFFFFF"/>
          <w:rtl/>
        </w:rPr>
        <w:t xml:space="preserve">לפיכך, ביוני 2024, פרסמה הממונה על התחרות את כללי קידום התחרות בענף המזון </w:t>
      </w:r>
      <w:r w:rsidR="007B79AA">
        <w:rPr>
          <w:rFonts w:ascii="David" w:hAnsi="David" w:cs="David" w:hint="cs"/>
          <w:color w:val="272727"/>
          <w:sz w:val="24"/>
          <w:szCs w:val="24"/>
          <w:shd w:val="clear" w:color="auto" w:fill="FFFFFF"/>
          <w:rtl/>
        </w:rPr>
        <w:t>(</w:t>
      </w:r>
      <w:r w:rsidRPr="000C11B2">
        <w:rPr>
          <w:rFonts w:ascii="David" w:hAnsi="David" w:cs="David"/>
          <w:color w:val="272727"/>
          <w:sz w:val="24"/>
          <w:szCs w:val="24"/>
          <w:shd w:val="clear" w:color="auto" w:fill="FFFFFF"/>
          <w:rtl/>
        </w:rPr>
        <w:t>פטור לפעולות ולהסדרים שעניינם סידור מצרכים בחנות של קמעונאי גדול) (הוראת שעה) (מס'2), תשפ"ד-2024</w:t>
      </w:r>
      <w:r w:rsidR="00395648">
        <w:rPr>
          <w:rFonts w:ascii="David" w:hAnsi="David" w:cs="David" w:hint="cs"/>
          <w:color w:val="272727"/>
          <w:sz w:val="24"/>
          <w:szCs w:val="24"/>
          <w:shd w:val="clear" w:color="auto" w:fill="FFFFFF"/>
          <w:rtl/>
        </w:rPr>
        <w:t xml:space="preserve"> </w:t>
      </w:r>
      <w:r w:rsidR="00395648" w:rsidRPr="000C11B2">
        <w:rPr>
          <w:rFonts w:ascii="David" w:hAnsi="David" w:cs="David"/>
          <w:color w:val="272727"/>
          <w:sz w:val="24"/>
          <w:szCs w:val="24"/>
          <w:shd w:val="clear" w:color="auto" w:fill="FFFFFF"/>
          <w:rtl/>
        </w:rPr>
        <w:t>("</w:t>
      </w:r>
      <w:r w:rsidR="00395648" w:rsidRPr="000C11B2">
        <w:rPr>
          <w:rFonts w:ascii="David" w:hAnsi="David" w:cs="David"/>
          <w:b/>
          <w:bCs/>
          <w:color w:val="272727"/>
          <w:sz w:val="24"/>
          <w:szCs w:val="24"/>
          <w:shd w:val="clear" w:color="auto" w:fill="FFFFFF"/>
          <w:rtl/>
        </w:rPr>
        <w:t>הפטור החדש</w:t>
      </w:r>
      <w:r w:rsidR="00395648" w:rsidRPr="000C11B2">
        <w:rPr>
          <w:rFonts w:ascii="David" w:hAnsi="David" w:cs="David"/>
          <w:color w:val="272727"/>
          <w:sz w:val="24"/>
          <w:szCs w:val="24"/>
          <w:shd w:val="clear" w:color="auto" w:fill="FFFFFF"/>
          <w:rtl/>
        </w:rPr>
        <w:t>")</w:t>
      </w:r>
      <w:r w:rsidR="00A73C49">
        <w:rPr>
          <w:rFonts w:ascii="David" w:hAnsi="David" w:cs="David" w:hint="cs"/>
          <w:color w:val="272727"/>
          <w:sz w:val="24"/>
          <w:szCs w:val="24"/>
          <w:shd w:val="clear" w:color="auto" w:fill="FFFFFF"/>
          <w:rtl/>
        </w:rPr>
        <w:t xml:space="preserve">. נוכח המלחמה, טענות על קושי לגייס עובדים ולאחר </w:t>
      </w:r>
      <w:proofErr w:type="spellStart"/>
      <w:r w:rsidR="00A73C49">
        <w:rPr>
          <w:rFonts w:ascii="David" w:hAnsi="David" w:cs="David" w:hint="cs"/>
          <w:color w:val="272727"/>
          <w:sz w:val="24"/>
          <w:szCs w:val="24"/>
          <w:shd w:val="clear" w:color="auto" w:fill="FFFFFF"/>
          <w:rtl/>
        </w:rPr>
        <w:t>ארכות</w:t>
      </w:r>
      <w:proofErr w:type="spellEnd"/>
      <w:r w:rsidR="00A73C49">
        <w:rPr>
          <w:rFonts w:ascii="David" w:hAnsi="David" w:cs="David" w:hint="cs"/>
          <w:color w:val="272727"/>
          <w:sz w:val="24"/>
          <w:szCs w:val="24"/>
          <w:shd w:val="clear" w:color="auto" w:fill="FFFFFF"/>
          <w:rtl/>
        </w:rPr>
        <w:t xml:space="preserve"> שנועדו </w:t>
      </w:r>
      <w:r w:rsidR="00395648">
        <w:rPr>
          <w:rFonts w:ascii="David" w:hAnsi="David" w:cs="David" w:hint="cs"/>
          <w:color w:val="272727"/>
          <w:sz w:val="24"/>
          <w:szCs w:val="24"/>
          <w:shd w:val="clear" w:color="auto" w:fill="FFFFFF"/>
          <w:rtl/>
        </w:rPr>
        <w:t>לאפשר הערכות סל ספקי המזון וקמעונאות המזון לאיסור, הוחלט שהפטור החדש</w:t>
      </w:r>
      <w:r w:rsidRPr="000C11B2">
        <w:rPr>
          <w:rFonts w:ascii="David" w:hAnsi="David" w:cs="David"/>
          <w:color w:val="272727"/>
          <w:sz w:val="24"/>
          <w:szCs w:val="24"/>
          <w:shd w:val="clear" w:color="auto" w:fill="FFFFFF"/>
          <w:rtl/>
        </w:rPr>
        <w:t xml:space="preserve"> ייכנס לתוקף החל מיום 1 בינואר 2025.  </w:t>
      </w:r>
    </w:p>
    <w:p w14:paraId="555EE40F" w14:textId="77777777" w:rsidR="004A7C98" w:rsidRPr="000C11B2" w:rsidRDefault="004A7C98" w:rsidP="004A7C98">
      <w:pPr>
        <w:pStyle w:val="ListParagraph"/>
        <w:numPr>
          <w:ilvl w:val="0"/>
          <w:numId w:val="7"/>
        </w:numPr>
        <w:spacing w:before="120" w:after="120" w:line="360" w:lineRule="auto"/>
        <w:contextualSpacing w:val="0"/>
        <w:jc w:val="both"/>
        <w:rPr>
          <w:rFonts w:ascii="David" w:hAnsi="David" w:cs="David"/>
          <w:sz w:val="24"/>
          <w:szCs w:val="24"/>
        </w:rPr>
      </w:pPr>
      <w:r w:rsidRPr="000C11B2">
        <w:rPr>
          <w:rFonts w:ascii="David" w:hAnsi="David" w:cs="David"/>
          <w:sz w:val="24"/>
          <w:szCs w:val="24"/>
          <w:rtl/>
        </w:rPr>
        <w:t xml:space="preserve">על פי הפטור החדש, ספקים גדולים יורשו לסדר מצרכים רק אצל קמעונאי שסך המכירות של ספקים שאינם גדולים (למעט מכירות של פירות וירקות טריים) עומד על לפחות חמישים וחמישה אחוזים מסך המכירות בחנויותיו, כאשר שיעור זה יעלה בכל שנה בנקודת אחוז ועד לשישים אחוז. </w:t>
      </w:r>
    </w:p>
    <w:p w14:paraId="345FF35C" w14:textId="77777777" w:rsidR="004A7C98" w:rsidRPr="000C11B2" w:rsidRDefault="004A7C98" w:rsidP="004A7C98">
      <w:pPr>
        <w:pStyle w:val="ListParagraph"/>
        <w:numPr>
          <w:ilvl w:val="0"/>
          <w:numId w:val="7"/>
        </w:numPr>
        <w:spacing w:line="360" w:lineRule="auto"/>
        <w:contextualSpacing w:val="0"/>
        <w:jc w:val="both"/>
        <w:rPr>
          <w:rFonts w:ascii="David" w:hAnsi="David" w:cs="David"/>
          <w:color w:val="272727"/>
          <w:sz w:val="24"/>
          <w:szCs w:val="24"/>
          <w:shd w:val="clear" w:color="auto" w:fill="FFFFFF"/>
        </w:rPr>
      </w:pPr>
      <w:r w:rsidRPr="000C11B2">
        <w:rPr>
          <w:rFonts w:ascii="David" w:hAnsi="David" w:cs="David"/>
          <w:color w:val="272727"/>
          <w:sz w:val="24"/>
          <w:szCs w:val="24"/>
          <w:shd w:val="clear" w:color="auto" w:fill="FFFFFF"/>
          <w:rtl/>
        </w:rPr>
        <w:t>הפטור החדש צפוי להביא להגברת התחרות בין ספקי המזון ולהבטיח שתכלית החוק תתקיים. אצל קמעונאים שמוכרים מעט ספקים שאינם ספקים גדולים, לא יהיה סידור מצרכים של ספקים גדולים וכך תתאפשר ביתר קלות כניסה של ספקים קטנים. אצל קמעונאים גדולים שחלק משמעותי ממכירותיהם הוא של מוצרי ספקים קטנים, תכלית החוק מתקיימת גם ללא איסור הסדרנות כך שאין מניעה לסידור מצרכים של ספקים גדולים בחנויותיהם.</w:t>
      </w:r>
    </w:p>
    <w:p w14:paraId="6007D714" w14:textId="2C57BE4D" w:rsidR="004A7C98" w:rsidRPr="000C11B2" w:rsidRDefault="004A7C98" w:rsidP="00395648">
      <w:pPr>
        <w:pStyle w:val="ListParagraph"/>
        <w:numPr>
          <w:ilvl w:val="0"/>
          <w:numId w:val="7"/>
        </w:numPr>
        <w:spacing w:line="360" w:lineRule="auto"/>
        <w:contextualSpacing w:val="0"/>
        <w:jc w:val="both"/>
        <w:rPr>
          <w:rFonts w:ascii="David" w:hAnsi="David" w:cs="David"/>
          <w:sz w:val="24"/>
          <w:szCs w:val="24"/>
          <w:rtl/>
        </w:rPr>
      </w:pPr>
      <w:r w:rsidRPr="000C11B2">
        <w:rPr>
          <w:rFonts w:ascii="David" w:hAnsi="David" w:cs="David"/>
          <w:sz w:val="24"/>
          <w:szCs w:val="24"/>
          <w:rtl/>
        </w:rPr>
        <w:t xml:space="preserve">הפטור החדש מייצר מצב לפיו קמעונאי המזון צריכים לגייס עובדים רבים שיסדרו את המצרכים על מדפיהם וספקי המזון צריכים להיפרד ממספר רב של סדרנים. </w:t>
      </w:r>
      <w:r w:rsidR="00395648">
        <w:rPr>
          <w:rFonts w:ascii="David" w:hAnsi="David" w:cs="David" w:hint="cs"/>
          <w:sz w:val="24"/>
          <w:szCs w:val="24"/>
          <w:rtl/>
        </w:rPr>
        <w:t xml:space="preserve">לאחר שניתנו מספר </w:t>
      </w:r>
      <w:proofErr w:type="spellStart"/>
      <w:r w:rsidR="00395648">
        <w:rPr>
          <w:rFonts w:ascii="David" w:hAnsi="David" w:cs="David" w:hint="cs"/>
          <w:sz w:val="24"/>
          <w:szCs w:val="24"/>
          <w:rtl/>
        </w:rPr>
        <w:t>ארכות</w:t>
      </w:r>
      <w:proofErr w:type="spellEnd"/>
      <w:r w:rsidR="00395648">
        <w:rPr>
          <w:rFonts w:ascii="David" w:hAnsi="David" w:cs="David" w:hint="cs"/>
          <w:sz w:val="24"/>
          <w:szCs w:val="24"/>
          <w:rtl/>
        </w:rPr>
        <w:t xml:space="preserve"> מרבית ספקי המזון והקמעונאים נערכו לכניסתו לתוקף של הפטור החדש.</w:t>
      </w:r>
    </w:p>
    <w:p w14:paraId="27D2FF1F" w14:textId="30FBD4F6" w:rsidR="004A7C98" w:rsidRPr="000C11B2" w:rsidRDefault="004A7C98" w:rsidP="00617B0D">
      <w:pPr>
        <w:pStyle w:val="ListParagraph"/>
        <w:numPr>
          <w:ilvl w:val="0"/>
          <w:numId w:val="7"/>
        </w:numPr>
        <w:spacing w:before="120" w:after="120" w:line="360" w:lineRule="auto"/>
        <w:contextualSpacing w:val="0"/>
        <w:jc w:val="both"/>
        <w:rPr>
          <w:rFonts w:ascii="David" w:hAnsi="David" w:cs="David"/>
          <w:sz w:val="24"/>
          <w:szCs w:val="24"/>
        </w:rPr>
      </w:pPr>
      <w:r w:rsidRPr="000C11B2">
        <w:rPr>
          <w:rFonts w:ascii="David" w:hAnsi="David" w:cs="David"/>
          <w:sz w:val="24"/>
          <w:szCs w:val="24"/>
          <w:rtl/>
        </w:rPr>
        <w:t>יחד עם זאת</w:t>
      </w:r>
      <w:r w:rsidR="00395648">
        <w:rPr>
          <w:rFonts w:ascii="David" w:hAnsi="David" w:cs="David" w:hint="cs"/>
          <w:sz w:val="24"/>
          <w:szCs w:val="24"/>
          <w:rtl/>
        </w:rPr>
        <w:t xml:space="preserve"> לאחרונה עלו טענו</w:t>
      </w:r>
      <w:r w:rsidR="00BA14DF">
        <w:rPr>
          <w:rFonts w:ascii="David" w:hAnsi="David" w:cs="David" w:hint="cs"/>
          <w:sz w:val="24"/>
          <w:szCs w:val="24"/>
          <w:rtl/>
        </w:rPr>
        <w:t>ת</w:t>
      </w:r>
      <w:r w:rsidRPr="000C11B2">
        <w:rPr>
          <w:rFonts w:ascii="David" w:hAnsi="David" w:cs="David"/>
          <w:sz w:val="24"/>
          <w:szCs w:val="24"/>
          <w:rtl/>
        </w:rPr>
        <w:t>, בדבר</w:t>
      </w:r>
      <w:r w:rsidR="0057677B" w:rsidRPr="000C11B2">
        <w:rPr>
          <w:rFonts w:ascii="David" w:hAnsi="David" w:cs="David"/>
          <w:sz w:val="24"/>
          <w:szCs w:val="24"/>
          <w:rtl/>
        </w:rPr>
        <w:t xml:space="preserve"> </w:t>
      </w:r>
      <w:r w:rsidR="00617B0D">
        <w:rPr>
          <w:rFonts w:ascii="David" w:hAnsi="David" w:cs="David" w:hint="cs"/>
          <w:sz w:val="24"/>
          <w:szCs w:val="24"/>
          <w:rtl/>
        </w:rPr>
        <w:t>הצורך</w:t>
      </w:r>
      <w:r w:rsidRPr="000C11B2">
        <w:rPr>
          <w:rFonts w:ascii="David" w:hAnsi="David" w:cs="David"/>
          <w:sz w:val="24"/>
          <w:szCs w:val="24"/>
          <w:rtl/>
        </w:rPr>
        <w:t xml:space="preserve"> של הקמעונאים, שאינם עומדים ברף הקבוע בפטור החדש, </w:t>
      </w:r>
      <w:r w:rsidR="007B79AA">
        <w:rPr>
          <w:rFonts w:ascii="David" w:hAnsi="David" w:cs="David" w:hint="cs"/>
          <w:sz w:val="24"/>
          <w:szCs w:val="24"/>
          <w:rtl/>
        </w:rPr>
        <w:t>ב</w:t>
      </w:r>
      <w:r w:rsidR="00617B0D">
        <w:rPr>
          <w:rFonts w:ascii="David" w:hAnsi="David" w:cs="David" w:hint="cs"/>
          <w:sz w:val="24"/>
          <w:szCs w:val="24"/>
          <w:rtl/>
        </w:rPr>
        <w:t xml:space="preserve">תקופת היערכות נוספת בכל הנוגע לסידור חלב ומוצריו </w:t>
      </w:r>
      <w:r w:rsidRPr="000C11B2">
        <w:rPr>
          <w:rFonts w:ascii="David" w:hAnsi="David" w:cs="David"/>
          <w:sz w:val="24"/>
          <w:szCs w:val="24"/>
          <w:rtl/>
        </w:rPr>
        <w:t>המקוררים</w:t>
      </w:r>
      <w:r w:rsidR="00B83AC5" w:rsidRPr="000C11B2">
        <w:rPr>
          <w:rFonts w:ascii="David" w:hAnsi="David" w:cs="David"/>
          <w:sz w:val="24"/>
          <w:szCs w:val="24"/>
          <w:rtl/>
        </w:rPr>
        <w:t xml:space="preserve">. </w:t>
      </w:r>
      <w:r w:rsidR="00617B0D" w:rsidRPr="000C11B2">
        <w:rPr>
          <w:rFonts w:ascii="David" w:hAnsi="David" w:cs="David"/>
          <w:sz w:val="24"/>
          <w:szCs w:val="24"/>
          <w:rtl/>
        </w:rPr>
        <w:t>מרבית הקמעונאים ציינו שתקופת ההתארגנות שניתנה על ידי הממונה על התחרות, עד ליום 1 בינואר 2025, מאפשרת להם להתארגן ולסדר בעצמם, בכלל חנויותיהם, את כלל המ</w:t>
      </w:r>
      <w:r w:rsidR="00AA034B">
        <w:rPr>
          <w:rFonts w:ascii="David" w:hAnsi="David" w:cs="David" w:hint="cs"/>
          <w:sz w:val="24"/>
          <w:szCs w:val="24"/>
          <w:rtl/>
        </w:rPr>
        <w:t>וצרים</w:t>
      </w:r>
      <w:r w:rsidR="00617B0D" w:rsidRPr="000C11B2">
        <w:rPr>
          <w:rFonts w:ascii="David" w:hAnsi="David" w:cs="David"/>
          <w:sz w:val="24"/>
          <w:szCs w:val="24"/>
          <w:rtl/>
        </w:rPr>
        <w:t xml:space="preserve"> שאינם מ</w:t>
      </w:r>
      <w:r w:rsidR="00AA034B">
        <w:rPr>
          <w:rFonts w:ascii="David" w:hAnsi="David" w:cs="David" w:hint="cs"/>
          <w:sz w:val="24"/>
          <w:szCs w:val="24"/>
          <w:rtl/>
        </w:rPr>
        <w:t>וצרי</w:t>
      </w:r>
      <w:r w:rsidR="00617B0D" w:rsidRPr="000C11B2">
        <w:rPr>
          <w:rFonts w:ascii="David" w:hAnsi="David" w:cs="David"/>
          <w:sz w:val="24"/>
          <w:szCs w:val="24"/>
          <w:rtl/>
        </w:rPr>
        <w:t xml:space="preserve"> חלב. </w:t>
      </w:r>
      <w:r w:rsidR="00617B0D">
        <w:rPr>
          <w:rFonts w:ascii="David" w:hAnsi="David" w:cs="David" w:hint="cs"/>
          <w:sz w:val="24"/>
          <w:szCs w:val="24"/>
          <w:rtl/>
        </w:rPr>
        <w:t>נטען כי</w:t>
      </w:r>
      <w:r w:rsidR="00B83AC5" w:rsidRPr="000C11B2">
        <w:rPr>
          <w:rFonts w:ascii="David" w:hAnsi="David" w:cs="David"/>
          <w:sz w:val="24"/>
          <w:szCs w:val="24"/>
          <w:rtl/>
        </w:rPr>
        <w:t xml:space="preserve"> קיימים מאפיינים ייחודיים למוצרי החלב אשר מערימים קשיים בסידור המקררים בהם מוצבים מוצרים אלו</w:t>
      </w:r>
      <w:r w:rsidR="00617B0D">
        <w:rPr>
          <w:rFonts w:ascii="David" w:hAnsi="David" w:cs="David" w:hint="cs"/>
          <w:sz w:val="24"/>
          <w:szCs w:val="24"/>
          <w:rtl/>
        </w:rPr>
        <w:t xml:space="preserve"> </w:t>
      </w:r>
      <w:r w:rsidR="00BA14DF">
        <w:rPr>
          <w:rFonts w:ascii="David" w:hAnsi="David" w:cs="David" w:hint="cs"/>
          <w:sz w:val="24"/>
          <w:szCs w:val="24"/>
          <w:rtl/>
        </w:rPr>
        <w:t>ו</w:t>
      </w:r>
      <w:r w:rsidR="00617B0D">
        <w:rPr>
          <w:rFonts w:ascii="David" w:hAnsi="David" w:cs="David" w:hint="cs"/>
          <w:sz w:val="24"/>
          <w:szCs w:val="24"/>
          <w:rtl/>
        </w:rPr>
        <w:t>שמצב המלחמה ו</w:t>
      </w:r>
      <w:r w:rsidRPr="000C11B2">
        <w:rPr>
          <w:rFonts w:ascii="David" w:hAnsi="David" w:cs="David"/>
          <w:sz w:val="24"/>
          <w:szCs w:val="24"/>
          <w:rtl/>
        </w:rPr>
        <w:t xml:space="preserve">מצוקת העובדים </w:t>
      </w:r>
      <w:r w:rsidR="00CC5965">
        <w:rPr>
          <w:rFonts w:ascii="David" w:hAnsi="David" w:cs="David" w:hint="cs"/>
          <w:sz w:val="24"/>
          <w:szCs w:val="24"/>
          <w:rtl/>
        </w:rPr>
        <w:t>שנוצרה בעקבותיו</w:t>
      </w:r>
      <w:r w:rsidR="00CC5965" w:rsidRPr="000C11B2" w:rsidDel="00617B0D">
        <w:rPr>
          <w:rFonts w:ascii="David" w:hAnsi="David" w:cs="David"/>
          <w:sz w:val="24"/>
          <w:szCs w:val="24"/>
          <w:rtl/>
        </w:rPr>
        <w:t xml:space="preserve"> </w:t>
      </w:r>
      <w:r w:rsidR="00617B0D">
        <w:rPr>
          <w:rFonts w:ascii="David" w:hAnsi="David" w:cs="David" w:hint="cs"/>
          <w:sz w:val="24"/>
          <w:szCs w:val="24"/>
          <w:rtl/>
        </w:rPr>
        <w:t>מחמיר</w:t>
      </w:r>
      <w:r w:rsidRPr="000C11B2">
        <w:rPr>
          <w:rFonts w:ascii="David" w:hAnsi="David" w:cs="David"/>
          <w:sz w:val="24"/>
          <w:szCs w:val="24"/>
          <w:rtl/>
        </w:rPr>
        <w:t xml:space="preserve">.  </w:t>
      </w:r>
    </w:p>
    <w:p w14:paraId="5241F300" w14:textId="3E99CF57" w:rsidR="004A7C98" w:rsidRPr="00AA034B" w:rsidRDefault="00AF340E" w:rsidP="00AF340E">
      <w:pPr>
        <w:pStyle w:val="ListParagraph"/>
        <w:numPr>
          <w:ilvl w:val="0"/>
          <w:numId w:val="7"/>
        </w:numPr>
        <w:spacing w:before="120" w:after="120" w:line="360" w:lineRule="auto"/>
        <w:contextualSpacing w:val="0"/>
        <w:jc w:val="both"/>
        <w:rPr>
          <w:rFonts w:ascii="David" w:hAnsi="David" w:cs="David"/>
          <w:sz w:val="24"/>
          <w:szCs w:val="24"/>
        </w:rPr>
      </w:pPr>
      <w:r w:rsidRPr="000C11B2">
        <w:rPr>
          <w:rFonts w:ascii="David" w:hAnsi="David" w:cs="David"/>
          <w:sz w:val="24"/>
          <w:szCs w:val="24"/>
          <w:rtl/>
        </w:rPr>
        <w:t xml:space="preserve">בנוסף, גם ספקי מזון רבים ציינו בפני נציגי רשות התחרות כי הם נערכו כראוי במשך תקופת ההתארגנות שניתנה על ידי הממונה על התחרות, וכי עד לסיומה הם יהיו ערוכים לפעול על פי הפטור החדש מיד עם כניסתו לתוקף. </w:t>
      </w:r>
      <w:r w:rsidR="004A7C98" w:rsidRPr="000C11B2">
        <w:rPr>
          <w:rFonts w:ascii="David" w:hAnsi="David" w:cs="David"/>
          <w:sz w:val="24"/>
          <w:szCs w:val="24"/>
          <w:rtl/>
        </w:rPr>
        <w:t xml:space="preserve">יתירה מכך, על רקע העובדה שהפטור </w:t>
      </w:r>
      <w:r w:rsidR="004A7C98" w:rsidRPr="00AA034B">
        <w:rPr>
          <w:rFonts w:ascii="David" w:hAnsi="David" w:cs="David"/>
          <w:sz w:val="24"/>
          <w:szCs w:val="24"/>
          <w:rtl/>
        </w:rPr>
        <w:lastRenderedPageBreak/>
        <w:t xml:space="preserve">החדש נכנס לתוקפו בעוד חודש ועשרה ימים, ספקים רבים </w:t>
      </w:r>
      <w:r w:rsidR="00CC5965" w:rsidRPr="00AA034B">
        <w:rPr>
          <w:rFonts w:ascii="David" w:hAnsi="David" w:cs="David" w:hint="cs"/>
          <w:sz w:val="24"/>
          <w:szCs w:val="24"/>
          <w:rtl/>
        </w:rPr>
        <w:t>הבהירו</w:t>
      </w:r>
      <w:r w:rsidR="004A7C98" w:rsidRPr="00AA034B">
        <w:rPr>
          <w:rFonts w:ascii="David" w:hAnsi="David" w:cs="David"/>
          <w:sz w:val="24"/>
          <w:szCs w:val="24"/>
          <w:rtl/>
        </w:rPr>
        <w:t xml:space="preserve"> שהם כבר ביצעו את כל ההכנות הנדרשות לקראת פיטורי עובדי הסדרנות ואף החלו את הליכי הפיטורין בפועל וכי לא ניתן יהיה להעסיק מחדש את אותם עובדים לתקופות קצרות. </w:t>
      </w:r>
    </w:p>
    <w:p w14:paraId="274A2F4F" w14:textId="3ABA6B31" w:rsidR="00F52A38" w:rsidRPr="00AA034B" w:rsidRDefault="00F52A38" w:rsidP="009B0637">
      <w:pPr>
        <w:pStyle w:val="ListParagraph"/>
        <w:numPr>
          <w:ilvl w:val="0"/>
          <w:numId w:val="7"/>
        </w:numPr>
        <w:spacing w:before="120" w:after="120" w:line="360" w:lineRule="auto"/>
        <w:contextualSpacing w:val="0"/>
        <w:jc w:val="both"/>
        <w:rPr>
          <w:rFonts w:ascii="David" w:hAnsi="David" w:cs="David"/>
          <w:sz w:val="24"/>
          <w:szCs w:val="24"/>
        </w:rPr>
      </w:pPr>
      <w:r w:rsidRPr="00AA034B">
        <w:rPr>
          <w:rFonts w:ascii="David" w:hAnsi="David" w:cs="David"/>
          <w:sz w:val="24"/>
          <w:szCs w:val="24"/>
          <w:rtl/>
        </w:rPr>
        <w:t xml:space="preserve">לאחר בחינת הדברים, מצאה הממונה לנכון לדחות ב-6 חודשים נוספים את כניסת הפטור החדש לתוקף ביחס </w:t>
      </w:r>
      <w:r w:rsidR="00CC5965" w:rsidRPr="00AA034B">
        <w:rPr>
          <w:rFonts w:ascii="David" w:hAnsi="David" w:cs="David" w:hint="eastAsia"/>
          <w:sz w:val="24"/>
          <w:szCs w:val="24"/>
          <w:rtl/>
        </w:rPr>
        <w:t>לחלב</w:t>
      </w:r>
      <w:r w:rsidR="00CC5965" w:rsidRPr="00AA034B">
        <w:rPr>
          <w:rFonts w:ascii="David" w:hAnsi="David" w:cs="David"/>
          <w:sz w:val="24"/>
          <w:szCs w:val="24"/>
          <w:rtl/>
        </w:rPr>
        <w:t xml:space="preserve"> </w:t>
      </w:r>
      <w:r w:rsidR="00CC5965" w:rsidRPr="00AA034B">
        <w:rPr>
          <w:rFonts w:ascii="David" w:hAnsi="David" w:cs="David" w:hint="eastAsia"/>
          <w:sz w:val="24"/>
          <w:szCs w:val="24"/>
          <w:rtl/>
        </w:rPr>
        <w:t>ומוצריו</w:t>
      </w:r>
      <w:r w:rsidRPr="00AA034B">
        <w:rPr>
          <w:rFonts w:ascii="David" w:hAnsi="David" w:cs="David"/>
          <w:sz w:val="24"/>
          <w:szCs w:val="24"/>
          <w:rtl/>
        </w:rPr>
        <w:t xml:space="preserve"> המקוררים</w:t>
      </w:r>
      <w:bookmarkStart w:id="0" w:name="_GoBack"/>
      <w:bookmarkEnd w:id="0"/>
      <w:r w:rsidRPr="00AA034B">
        <w:rPr>
          <w:rFonts w:ascii="David" w:hAnsi="David" w:cs="David"/>
          <w:sz w:val="24"/>
          <w:szCs w:val="24"/>
          <w:rtl/>
        </w:rPr>
        <w:t xml:space="preserve"> בלבד. ביחס לכל שאר המצרכים, אין שינוי במועד הכניסה לתוקף של הפטור החדש, אשר יכנס לתוקף ביום 1 בינואר 2025.</w:t>
      </w:r>
    </w:p>
    <w:p w14:paraId="6B0020FB" w14:textId="7055A5BF" w:rsidR="004A7C98" w:rsidRPr="000C11B2" w:rsidRDefault="004A7C98" w:rsidP="004A7C98">
      <w:pPr>
        <w:pStyle w:val="ListParagraph"/>
        <w:numPr>
          <w:ilvl w:val="0"/>
          <w:numId w:val="7"/>
        </w:numPr>
        <w:spacing w:before="120" w:after="120" w:line="360" w:lineRule="auto"/>
        <w:contextualSpacing w:val="0"/>
        <w:jc w:val="both"/>
        <w:rPr>
          <w:rFonts w:ascii="David" w:hAnsi="David" w:cs="David"/>
          <w:sz w:val="24"/>
          <w:szCs w:val="24"/>
        </w:rPr>
      </w:pPr>
      <w:r w:rsidRPr="00AA034B">
        <w:rPr>
          <w:rFonts w:ascii="David" w:hAnsi="David" w:cs="David"/>
          <w:sz w:val="24"/>
          <w:szCs w:val="24"/>
          <w:rtl/>
        </w:rPr>
        <w:t>כלומר, לגבי כלל המצרכים, החל מיום 1 בינואר, ספק גדול יורשה לסדר מצרכים רק אצל קמעונאי גדול שעומד בתנאי הפטור החדש. לגבי מצרכי חלב מקוררים ספק גדול יורשה לסדר אותם</w:t>
      </w:r>
      <w:r w:rsidR="000C11B2" w:rsidRPr="00AA034B">
        <w:rPr>
          <w:rFonts w:ascii="David" w:hAnsi="David" w:cs="David"/>
          <w:sz w:val="24"/>
          <w:szCs w:val="24"/>
          <w:rtl/>
        </w:rPr>
        <w:t xml:space="preserve"> בחנויות של קמעונאים גדולים</w:t>
      </w:r>
      <w:r w:rsidRPr="00AA034B">
        <w:rPr>
          <w:rFonts w:ascii="David" w:hAnsi="David" w:cs="David"/>
          <w:sz w:val="24"/>
          <w:szCs w:val="24"/>
          <w:rtl/>
        </w:rPr>
        <w:t>, עד ליום 30.6.25, בכפוף לעמידה</w:t>
      </w:r>
      <w:r w:rsidRPr="000C11B2">
        <w:rPr>
          <w:rFonts w:ascii="David" w:hAnsi="David" w:cs="David"/>
          <w:sz w:val="24"/>
          <w:szCs w:val="24"/>
          <w:rtl/>
        </w:rPr>
        <w:t xml:space="preserve"> בתנאי הפטור הנוכחי. החל מיום 1.7.25, ספק גדול יורשה לסדר את מצרכי החלב המקוררים אצל קמעונאי גדול </w:t>
      </w:r>
      <w:r w:rsidR="000C11B2" w:rsidRPr="000C11B2">
        <w:rPr>
          <w:rFonts w:ascii="David" w:hAnsi="David" w:cs="David"/>
          <w:sz w:val="24"/>
          <w:szCs w:val="24"/>
          <w:rtl/>
        </w:rPr>
        <w:t xml:space="preserve">רק אם הוא </w:t>
      </w:r>
      <w:r w:rsidRPr="000C11B2">
        <w:rPr>
          <w:rFonts w:ascii="David" w:hAnsi="David" w:cs="David"/>
          <w:sz w:val="24"/>
          <w:szCs w:val="24"/>
          <w:rtl/>
        </w:rPr>
        <w:t>עומד בתנאי הפטור החדש.</w:t>
      </w:r>
    </w:p>
    <w:p w14:paraId="7EFE313E" w14:textId="77777777" w:rsidR="004A7C98" w:rsidRPr="000C11B2" w:rsidRDefault="004A7C98" w:rsidP="004A7C98">
      <w:pPr>
        <w:pStyle w:val="ListParagraph"/>
        <w:numPr>
          <w:ilvl w:val="0"/>
          <w:numId w:val="7"/>
        </w:numPr>
        <w:spacing w:before="120" w:after="120" w:line="360" w:lineRule="auto"/>
        <w:contextualSpacing w:val="0"/>
        <w:jc w:val="both"/>
        <w:rPr>
          <w:rFonts w:ascii="David" w:hAnsi="David" w:cs="David"/>
          <w:sz w:val="24"/>
          <w:szCs w:val="24"/>
          <w:rtl/>
        </w:rPr>
      </w:pPr>
      <w:r w:rsidRPr="000C11B2">
        <w:rPr>
          <w:rFonts w:ascii="David" w:hAnsi="David" w:cs="David"/>
          <w:sz w:val="24"/>
          <w:szCs w:val="24"/>
          <w:rtl/>
        </w:rPr>
        <w:t>אין באמור כדי לגרוע מהוראות החוק הקבועות בסעיף 7(ג)</w:t>
      </w:r>
      <w:r w:rsidRPr="000C11B2">
        <w:rPr>
          <w:rFonts w:ascii="David" w:hAnsi="David" w:cs="David"/>
          <w:sz w:val="24"/>
          <w:szCs w:val="24"/>
        </w:rPr>
        <w:t xml:space="preserve"> </w:t>
      </w:r>
      <w:r w:rsidRPr="000C11B2">
        <w:rPr>
          <w:rFonts w:ascii="David" w:hAnsi="David" w:cs="David"/>
          <w:sz w:val="24"/>
          <w:szCs w:val="24"/>
          <w:rtl/>
        </w:rPr>
        <w:t xml:space="preserve">לחוק המזון. </w:t>
      </w:r>
    </w:p>
    <w:p w14:paraId="19CA82DC" w14:textId="3BDB50F1" w:rsidR="00761CD3" w:rsidRPr="000C11B2" w:rsidRDefault="00761CD3" w:rsidP="00E1187F">
      <w:pPr>
        <w:bidi/>
        <w:spacing w:before="120" w:after="120"/>
        <w:jc w:val="both"/>
        <w:rPr>
          <w:rFonts w:ascii="David" w:hAnsi="David" w:cs="David"/>
        </w:rPr>
      </w:pPr>
    </w:p>
    <w:sectPr w:rsidR="00761CD3" w:rsidRPr="000C11B2" w:rsidSect="00322BD3">
      <w:headerReference w:type="default" r:id="rId8"/>
      <w:headerReference w:type="first" r:id="rId9"/>
      <w:footerReference w:type="first" r:id="rId10"/>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ADE6B" w14:textId="77777777" w:rsidR="001E23E4" w:rsidRDefault="001E23E4" w:rsidP="00C00E97">
      <w:r>
        <w:separator/>
      </w:r>
    </w:p>
  </w:endnote>
  <w:endnote w:type="continuationSeparator" w:id="0">
    <w:p w14:paraId="1CD923A8" w14:textId="77777777" w:rsidR="001E23E4" w:rsidRDefault="001E23E4" w:rsidP="00C0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ef">
    <w:panose1 w:val="00000500000000000000"/>
    <w:charset w:val="00"/>
    <w:family w:val="auto"/>
    <w:pitch w:val="variable"/>
    <w:sig w:usb0="00000807" w:usb1="40000000" w:usb2="00000000" w:usb3="00000000" w:csb0="000000B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4706C" w14:textId="137DAC98" w:rsidR="00322BD3" w:rsidRDefault="00322BD3" w:rsidP="00322BD3">
    <w:pPr>
      <w:pStyle w:val="Footer"/>
      <w:tabs>
        <w:tab w:val="clear" w:pos="4153"/>
        <w:tab w:val="clear" w:pos="8306"/>
        <w:tab w:val="left" w:pos="1790"/>
      </w:tabs>
    </w:pPr>
    <w:r>
      <w:rPr>
        <w:noProof/>
      </w:rPr>
      <w:drawing>
        <wp:anchor distT="0" distB="0" distL="114300" distR="114300" simplePos="0" relativeHeight="251665408" behindDoc="1" locked="0" layoutInCell="1" allowOverlap="1" wp14:anchorId="5583DECF" wp14:editId="092A1F21">
          <wp:simplePos x="0" y="0"/>
          <wp:positionH relativeFrom="page">
            <wp:posOffset>0</wp:posOffset>
          </wp:positionH>
          <wp:positionV relativeFrom="page">
            <wp:posOffset>9835763</wp:posOffset>
          </wp:positionV>
          <wp:extent cx="7582296" cy="856505"/>
          <wp:effectExtent l="0" t="0" r="0" b="127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דף פירמה עיצוב שני_דף פירמה חדש cop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52593" cy="864446"/>
                  </a:xfrm>
                  <a:prstGeom prst="rect">
                    <a:avLst/>
                  </a:prstGeom>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BF04C" w14:textId="77777777" w:rsidR="001E23E4" w:rsidRDefault="001E23E4" w:rsidP="00C00E97">
      <w:r>
        <w:separator/>
      </w:r>
    </w:p>
  </w:footnote>
  <w:footnote w:type="continuationSeparator" w:id="0">
    <w:p w14:paraId="4611490D" w14:textId="77777777" w:rsidR="001E23E4" w:rsidRDefault="001E23E4" w:rsidP="00C00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4018320"/>
      <w:docPartObj>
        <w:docPartGallery w:val="Page Numbers (Top of Page)"/>
        <w:docPartUnique/>
      </w:docPartObj>
    </w:sdtPr>
    <w:sdtEndPr/>
    <w:sdtContent>
      <w:p w14:paraId="1CA8A4DA" w14:textId="14A51B90" w:rsidR="00CC5965" w:rsidRDefault="00CC596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31C28A5" w14:textId="77777777" w:rsidR="00CC5965" w:rsidRDefault="00CC59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373DD" w14:textId="58607B61" w:rsidR="00322BD3" w:rsidRPr="009665F6" w:rsidRDefault="00AC3989" w:rsidP="00322BD3">
    <w:pPr>
      <w:pStyle w:val="Header"/>
      <w:rPr>
        <w:rFonts w:ascii="Alef" w:hAnsi="Alef" w:cs="Alef"/>
      </w:rPr>
    </w:pPr>
    <w:r>
      <w:rPr>
        <w:rFonts w:ascii="Alef" w:hAnsi="Alef" w:cs="Alef" w:hint="eastAsia"/>
        <w:noProof/>
        <w:rtl/>
      </w:rPr>
      <w:drawing>
        <wp:anchor distT="0" distB="0" distL="114300" distR="114300" simplePos="0" relativeHeight="251663360" behindDoc="0" locked="0" layoutInCell="1" allowOverlap="1" wp14:anchorId="17B094E5" wp14:editId="49D504D5">
          <wp:simplePos x="0" y="0"/>
          <wp:positionH relativeFrom="column">
            <wp:posOffset>-476250</wp:posOffset>
          </wp:positionH>
          <wp:positionV relativeFrom="paragraph">
            <wp:posOffset>-481330</wp:posOffset>
          </wp:positionV>
          <wp:extent cx="7229475" cy="1590932"/>
          <wp:effectExtent l="0" t="0" r="0" b="0"/>
          <wp:wrapSquare wrapText="bothSides"/>
          <wp:docPr id="2"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תמונה 10"/>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9475" cy="1590932"/>
                  </a:xfrm>
                  <a:prstGeom prst="rect">
                    <a:avLst/>
                  </a:prstGeom>
                </pic:spPr>
              </pic:pic>
            </a:graphicData>
          </a:graphic>
        </wp:anchor>
      </w:drawing>
    </w:r>
    <w:r w:rsidR="00322BD3" w:rsidRPr="009665F6">
      <w:rPr>
        <w:rFonts w:ascii="Alef" w:hAnsi="Alef" w:cs="Alef" w:hint="eastAsia"/>
        <w:rtl/>
      </w:rPr>
      <w:t>ירושלים</w:t>
    </w:r>
    <w:r w:rsidR="00322BD3" w:rsidRPr="009665F6">
      <w:rPr>
        <w:rFonts w:ascii="Alef" w:hAnsi="Alef" w:cs="Alef"/>
        <w:rtl/>
      </w:rPr>
      <w:t xml:space="preserve">, </w:t>
    </w:r>
    <w:r w:rsidR="00322BD3">
      <w:rPr>
        <w:rFonts w:ascii="Alef" w:hAnsi="Alef" w:cs="Alef" w:hint="eastAsia"/>
        <w:rtl/>
      </w:rPr>
      <w:t>‏</w:t>
    </w:r>
    <w:r w:rsidR="002E5750">
      <w:rPr>
        <w:rFonts w:ascii="Alef" w:hAnsi="Alef" w:cs="Alef" w:hint="cs"/>
        <w:rtl/>
      </w:rPr>
      <w:t>כ'</w:t>
    </w:r>
    <w:r w:rsidR="00322BD3">
      <w:rPr>
        <w:rFonts w:ascii="Alef" w:hAnsi="Alef" w:cs="Alef"/>
        <w:rtl/>
      </w:rPr>
      <w:t xml:space="preserve"> </w:t>
    </w:r>
    <w:r w:rsidR="002E5750">
      <w:rPr>
        <w:rFonts w:ascii="Alef" w:hAnsi="Alef" w:cs="Alef" w:hint="cs"/>
        <w:rtl/>
      </w:rPr>
      <w:t>חשוון</w:t>
    </w:r>
    <w:r w:rsidR="00322BD3">
      <w:rPr>
        <w:rFonts w:ascii="Alef" w:hAnsi="Alef" w:cs="Alef"/>
        <w:rtl/>
      </w:rPr>
      <w:t xml:space="preserve"> תשפ"</w:t>
    </w:r>
    <w:r w:rsidR="002E5750">
      <w:rPr>
        <w:rFonts w:ascii="Alef" w:hAnsi="Alef" w:cs="Alef" w:hint="cs"/>
        <w:rtl/>
      </w:rPr>
      <w:t>ה</w:t>
    </w:r>
  </w:p>
  <w:p w14:paraId="6850BF46" w14:textId="086A2902" w:rsidR="00322BD3" w:rsidRPr="009665F6" w:rsidRDefault="00322BD3" w:rsidP="00322BD3">
    <w:pPr>
      <w:pStyle w:val="Header"/>
      <w:rPr>
        <w:rFonts w:ascii="Alef" w:hAnsi="Alef" w:cs="Alef"/>
      </w:rPr>
    </w:pPr>
    <w:r w:rsidRPr="009665F6">
      <w:rPr>
        <w:rFonts w:ascii="Alef" w:hAnsi="Alef" w:cs="Alef" w:hint="eastAsia"/>
        <w:rtl/>
      </w:rPr>
      <w:t>‏</w:t>
    </w:r>
    <w:r>
      <w:rPr>
        <w:rFonts w:ascii="Alef" w:hAnsi="Alef" w:cs="Alef" w:hint="eastAsia"/>
        <w:rtl/>
      </w:rPr>
      <w:t>‏</w:t>
    </w:r>
    <w:r w:rsidR="00674DF6">
      <w:rPr>
        <w:rFonts w:ascii="Alef" w:hAnsi="Alef" w:cs="Alef" w:hint="cs"/>
        <w:rtl/>
      </w:rPr>
      <w:t>21</w:t>
    </w:r>
    <w:r>
      <w:rPr>
        <w:rFonts w:ascii="Alef" w:hAnsi="Alef" w:cs="Alef"/>
        <w:rtl/>
      </w:rPr>
      <w:t xml:space="preserve"> </w:t>
    </w:r>
    <w:r w:rsidR="00674DF6">
      <w:rPr>
        <w:rFonts w:ascii="Alef" w:hAnsi="Alef" w:cs="Alef" w:hint="cs"/>
        <w:rtl/>
      </w:rPr>
      <w:t>ב</w:t>
    </w:r>
    <w:r w:rsidR="002E5750">
      <w:rPr>
        <w:rFonts w:ascii="Alef" w:hAnsi="Alef" w:cs="Alef" w:hint="cs"/>
        <w:rtl/>
      </w:rPr>
      <w:t>נ</w:t>
    </w:r>
    <w:r w:rsidR="00674DF6">
      <w:rPr>
        <w:rFonts w:ascii="Alef" w:hAnsi="Alef" w:cs="Alef" w:hint="cs"/>
        <w:rtl/>
      </w:rPr>
      <w:t>ובמבר</w:t>
    </w:r>
    <w:r>
      <w:rPr>
        <w:rFonts w:ascii="Alef" w:hAnsi="Alef" w:cs="Alef"/>
        <w:rtl/>
      </w:rPr>
      <w:t xml:space="preserve"> 202</w:t>
    </w:r>
    <w:r w:rsidR="00674DF6">
      <w:rPr>
        <w:rFonts w:ascii="Alef" w:hAnsi="Alef" w:cs="Alef" w:hint="cs"/>
        <w:rtl/>
      </w:rPr>
      <w:t>4</w:t>
    </w:r>
  </w:p>
  <w:p w14:paraId="7F0DAE76" w14:textId="77777777" w:rsidR="00322BD3" w:rsidRDefault="00322BD3" w:rsidP="00322BD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C3311"/>
    <w:multiLevelType w:val="hybridMultilevel"/>
    <w:tmpl w:val="5044AA18"/>
    <w:lvl w:ilvl="0" w:tplc="580AFDC6">
      <w:start w:val="7"/>
      <w:numFmt w:val="bullet"/>
      <w:lvlText w:val=""/>
      <w:lvlJc w:val="left"/>
      <w:pPr>
        <w:ind w:left="1080" w:hanging="360"/>
      </w:pPr>
      <w:rPr>
        <w:rFonts w:ascii="Symbol" w:eastAsiaTheme="minorHAnsi" w:hAnsi="Symbol"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CD33A9D"/>
    <w:multiLevelType w:val="hybridMultilevel"/>
    <w:tmpl w:val="0870F40E"/>
    <w:lvl w:ilvl="0" w:tplc="99F0142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AF6C08"/>
    <w:multiLevelType w:val="hybridMultilevel"/>
    <w:tmpl w:val="F6EA0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595E22"/>
    <w:multiLevelType w:val="hybridMultilevel"/>
    <w:tmpl w:val="481A9F94"/>
    <w:lvl w:ilvl="0" w:tplc="04090013">
      <w:start w:val="1"/>
      <w:numFmt w:val="hebrew1"/>
      <w:lvlText w:val="%1."/>
      <w:lvlJc w:val="center"/>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4A624979"/>
    <w:multiLevelType w:val="hybridMultilevel"/>
    <w:tmpl w:val="CFAC8D8E"/>
    <w:lvl w:ilvl="0" w:tplc="039249E2">
      <w:start w:val="1"/>
      <w:numFmt w:val="decimal"/>
      <w:lvlText w:val="%1."/>
      <w:lvlJc w:val="left"/>
      <w:pPr>
        <w:ind w:left="720" w:hanging="360"/>
      </w:pPr>
      <w:rPr>
        <w:rFonts w:hint="default"/>
        <w:b w:val="0"/>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A23894"/>
    <w:multiLevelType w:val="hybridMultilevel"/>
    <w:tmpl w:val="DF3EE316"/>
    <w:lvl w:ilvl="0" w:tplc="7CE86CE8">
      <w:start w:val="1"/>
      <w:numFmt w:val="hebrew1"/>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666064A"/>
    <w:multiLevelType w:val="hybridMultilevel"/>
    <w:tmpl w:val="00E6C9C8"/>
    <w:lvl w:ilvl="0" w:tplc="7458E642">
      <w:start w:val="1"/>
      <w:numFmt w:val="decimal"/>
      <w:lvlText w:val="%1."/>
      <w:lvlJc w:val="left"/>
      <w:pPr>
        <w:ind w:left="360" w:hanging="360"/>
      </w:pPr>
      <w:rPr>
        <w:rFonts w:hint="default"/>
        <w:lang w:bidi="he-IL"/>
      </w:rPr>
    </w:lvl>
    <w:lvl w:ilvl="1" w:tplc="04090013">
      <w:start w:val="1"/>
      <w:numFmt w:val="hebrew1"/>
      <w:lvlText w:val="%2."/>
      <w:lvlJc w:val="center"/>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77B0810"/>
    <w:multiLevelType w:val="hybridMultilevel"/>
    <w:tmpl w:val="2E5614BE"/>
    <w:lvl w:ilvl="0" w:tplc="04090013">
      <w:start w:val="1"/>
      <w:numFmt w:val="hebrew1"/>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7"/>
  </w:num>
  <w:num w:numId="5">
    <w:abstractNumId w:val="6"/>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630"/>
    <w:rsid w:val="00020C5D"/>
    <w:rsid w:val="000259F8"/>
    <w:rsid w:val="00030401"/>
    <w:rsid w:val="00030594"/>
    <w:rsid w:val="00034D8C"/>
    <w:rsid w:val="00040D73"/>
    <w:rsid w:val="00041BEA"/>
    <w:rsid w:val="00045600"/>
    <w:rsid w:val="00051A4F"/>
    <w:rsid w:val="00054984"/>
    <w:rsid w:val="000616A9"/>
    <w:rsid w:val="000C11B2"/>
    <w:rsid w:val="000C2544"/>
    <w:rsid w:val="000C733C"/>
    <w:rsid w:val="000F00BD"/>
    <w:rsid w:val="000F19E0"/>
    <w:rsid w:val="000F2D15"/>
    <w:rsid w:val="00100209"/>
    <w:rsid w:val="001029E4"/>
    <w:rsid w:val="00103442"/>
    <w:rsid w:val="00107022"/>
    <w:rsid w:val="001148FE"/>
    <w:rsid w:val="00116CA1"/>
    <w:rsid w:val="001217C2"/>
    <w:rsid w:val="00124980"/>
    <w:rsid w:val="00124ACD"/>
    <w:rsid w:val="0013104E"/>
    <w:rsid w:val="001426FB"/>
    <w:rsid w:val="00173589"/>
    <w:rsid w:val="00173B55"/>
    <w:rsid w:val="00181D10"/>
    <w:rsid w:val="001851CC"/>
    <w:rsid w:val="0019111D"/>
    <w:rsid w:val="00195514"/>
    <w:rsid w:val="0019675C"/>
    <w:rsid w:val="00197E3A"/>
    <w:rsid w:val="001B22D5"/>
    <w:rsid w:val="001B258F"/>
    <w:rsid w:val="001B7EA7"/>
    <w:rsid w:val="001B7FF7"/>
    <w:rsid w:val="001C768D"/>
    <w:rsid w:val="001D2AD6"/>
    <w:rsid w:val="001E01CB"/>
    <w:rsid w:val="001E23E4"/>
    <w:rsid w:val="001E261B"/>
    <w:rsid w:val="001E56C2"/>
    <w:rsid w:val="001E72DB"/>
    <w:rsid w:val="002043E2"/>
    <w:rsid w:val="00205BE8"/>
    <w:rsid w:val="0021455A"/>
    <w:rsid w:val="00214A25"/>
    <w:rsid w:val="00235BFE"/>
    <w:rsid w:val="00241DD5"/>
    <w:rsid w:val="0024293D"/>
    <w:rsid w:val="00242B35"/>
    <w:rsid w:val="00244E45"/>
    <w:rsid w:val="00251522"/>
    <w:rsid w:val="00252A6A"/>
    <w:rsid w:val="00260411"/>
    <w:rsid w:val="00262A4A"/>
    <w:rsid w:val="0027241A"/>
    <w:rsid w:val="00292715"/>
    <w:rsid w:val="00296A3E"/>
    <w:rsid w:val="002A13A3"/>
    <w:rsid w:val="002B592A"/>
    <w:rsid w:val="002E5750"/>
    <w:rsid w:val="002E6E67"/>
    <w:rsid w:val="002F1408"/>
    <w:rsid w:val="00305EFA"/>
    <w:rsid w:val="00315F6A"/>
    <w:rsid w:val="0031710F"/>
    <w:rsid w:val="00320734"/>
    <w:rsid w:val="00322BD3"/>
    <w:rsid w:val="00322D2A"/>
    <w:rsid w:val="00327918"/>
    <w:rsid w:val="00356066"/>
    <w:rsid w:val="0035724E"/>
    <w:rsid w:val="003859CF"/>
    <w:rsid w:val="00395648"/>
    <w:rsid w:val="00396884"/>
    <w:rsid w:val="003A7E98"/>
    <w:rsid w:val="003B4417"/>
    <w:rsid w:val="003C2D0D"/>
    <w:rsid w:val="003D302A"/>
    <w:rsid w:val="003D3F27"/>
    <w:rsid w:val="003D7195"/>
    <w:rsid w:val="003E051C"/>
    <w:rsid w:val="003E7031"/>
    <w:rsid w:val="003F505A"/>
    <w:rsid w:val="003F75B7"/>
    <w:rsid w:val="00405D23"/>
    <w:rsid w:val="00434B07"/>
    <w:rsid w:val="004442AF"/>
    <w:rsid w:val="004A7B1F"/>
    <w:rsid w:val="004A7C98"/>
    <w:rsid w:val="004B3FD8"/>
    <w:rsid w:val="004B74A2"/>
    <w:rsid w:val="004C598C"/>
    <w:rsid w:val="004D0370"/>
    <w:rsid w:val="004D3531"/>
    <w:rsid w:val="004E4FAF"/>
    <w:rsid w:val="004F4EAF"/>
    <w:rsid w:val="004F7A30"/>
    <w:rsid w:val="0050093A"/>
    <w:rsid w:val="005052C7"/>
    <w:rsid w:val="00510ABD"/>
    <w:rsid w:val="00543F6B"/>
    <w:rsid w:val="00550CC7"/>
    <w:rsid w:val="00563CDD"/>
    <w:rsid w:val="0057677B"/>
    <w:rsid w:val="00580FC7"/>
    <w:rsid w:val="00583F77"/>
    <w:rsid w:val="00587878"/>
    <w:rsid w:val="0059275F"/>
    <w:rsid w:val="005A5F42"/>
    <w:rsid w:val="005A70C2"/>
    <w:rsid w:val="005B7CF1"/>
    <w:rsid w:val="005B7E47"/>
    <w:rsid w:val="005C0B41"/>
    <w:rsid w:val="005C3450"/>
    <w:rsid w:val="005C35A4"/>
    <w:rsid w:val="005C38BC"/>
    <w:rsid w:val="005C43D8"/>
    <w:rsid w:val="005D43D9"/>
    <w:rsid w:val="005D4C27"/>
    <w:rsid w:val="005D7D0F"/>
    <w:rsid w:val="005E221B"/>
    <w:rsid w:val="005F501E"/>
    <w:rsid w:val="006013DE"/>
    <w:rsid w:val="00601491"/>
    <w:rsid w:val="00602E41"/>
    <w:rsid w:val="006036C6"/>
    <w:rsid w:val="00613A53"/>
    <w:rsid w:val="00617B0D"/>
    <w:rsid w:val="00622BA0"/>
    <w:rsid w:val="00627D6A"/>
    <w:rsid w:val="00632835"/>
    <w:rsid w:val="00641AD3"/>
    <w:rsid w:val="0064641B"/>
    <w:rsid w:val="0066395D"/>
    <w:rsid w:val="00674DF6"/>
    <w:rsid w:val="006772F6"/>
    <w:rsid w:val="00683D70"/>
    <w:rsid w:val="00687B54"/>
    <w:rsid w:val="00692333"/>
    <w:rsid w:val="006947EC"/>
    <w:rsid w:val="006A40B4"/>
    <w:rsid w:val="006D5D25"/>
    <w:rsid w:val="006F38E4"/>
    <w:rsid w:val="006F6BFA"/>
    <w:rsid w:val="006F6DD4"/>
    <w:rsid w:val="00700A9B"/>
    <w:rsid w:val="0072164A"/>
    <w:rsid w:val="007236E6"/>
    <w:rsid w:val="00727470"/>
    <w:rsid w:val="00761CD3"/>
    <w:rsid w:val="007620AE"/>
    <w:rsid w:val="00766E5A"/>
    <w:rsid w:val="00776E7B"/>
    <w:rsid w:val="007815C2"/>
    <w:rsid w:val="00783331"/>
    <w:rsid w:val="00783445"/>
    <w:rsid w:val="00785C30"/>
    <w:rsid w:val="007904B6"/>
    <w:rsid w:val="00797129"/>
    <w:rsid w:val="007A0992"/>
    <w:rsid w:val="007A59C5"/>
    <w:rsid w:val="007B0A8A"/>
    <w:rsid w:val="007B747A"/>
    <w:rsid w:val="007B79AA"/>
    <w:rsid w:val="007D39D5"/>
    <w:rsid w:val="007D606E"/>
    <w:rsid w:val="007E1B07"/>
    <w:rsid w:val="007E5CEA"/>
    <w:rsid w:val="0080291F"/>
    <w:rsid w:val="00804CB8"/>
    <w:rsid w:val="00815E9F"/>
    <w:rsid w:val="00820EAB"/>
    <w:rsid w:val="0082327C"/>
    <w:rsid w:val="00843804"/>
    <w:rsid w:val="0087098E"/>
    <w:rsid w:val="0087456A"/>
    <w:rsid w:val="00881AEB"/>
    <w:rsid w:val="008862FD"/>
    <w:rsid w:val="00887EF4"/>
    <w:rsid w:val="008A39F3"/>
    <w:rsid w:val="008A5736"/>
    <w:rsid w:val="008E20F9"/>
    <w:rsid w:val="008E7B79"/>
    <w:rsid w:val="008F56E8"/>
    <w:rsid w:val="00902319"/>
    <w:rsid w:val="00903675"/>
    <w:rsid w:val="00911326"/>
    <w:rsid w:val="00914703"/>
    <w:rsid w:val="00925EC8"/>
    <w:rsid w:val="00945F7E"/>
    <w:rsid w:val="00951C4E"/>
    <w:rsid w:val="00961178"/>
    <w:rsid w:val="009665F6"/>
    <w:rsid w:val="00986823"/>
    <w:rsid w:val="009A08D6"/>
    <w:rsid w:val="009A3DE1"/>
    <w:rsid w:val="009B0637"/>
    <w:rsid w:val="009B11AB"/>
    <w:rsid w:val="009B547E"/>
    <w:rsid w:val="009B753E"/>
    <w:rsid w:val="009C041D"/>
    <w:rsid w:val="009F1A22"/>
    <w:rsid w:val="00A046F1"/>
    <w:rsid w:val="00A07E3D"/>
    <w:rsid w:val="00A16477"/>
    <w:rsid w:val="00A216FE"/>
    <w:rsid w:val="00A22776"/>
    <w:rsid w:val="00A350C7"/>
    <w:rsid w:val="00A357BF"/>
    <w:rsid w:val="00A449CE"/>
    <w:rsid w:val="00A54365"/>
    <w:rsid w:val="00A62964"/>
    <w:rsid w:val="00A636E1"/>
    <w:rsid w:val="00A73C49"/>
    <w:rsid w:val="00A743A1"/>
    <w:rsid w:val="00A74DC7"/>
    <w:rsid w:val="00A80956"/>
    <w:rsid w:val="00A82848"/>
    <w:rsid w:val="00A9188B"/>
    <w:rsid w:val="00A92D56"/>
    <w:rsid w:val="00A9441A"/>
    <w:rsid w:val="00AA034B"/>
    <w:rsid w:val="00AA2F07"/>
    <w:rsid w:val="00AA3448"/>
    <w:rsid w:val="00AA74E1"/>
    <w:rsid w:val="00AC19F9"/>
    <w:rsid w:val="00AC3171"/>
    <w:rsid w:val="00AC3989"/>
    <w:rsid w:val="00AC7C80"/>
    <w:rsid w:val="00AD7517"/>
    <w:rsid w:val="00AF18E7"/>
    <w:rsid w:val="00AF2CCB"/>
    <w:rsid w:val="00AF340E"/>
    <w:rsid w:val="00AF54B2"/>
    <w:rsid w:val="00B103BA"/>
    <w:rsid w:val="00B11816"/>
    <w:rsid w:val="00B134C4"/>
    <w:rsid w:val="00B14B03"/>
    <w:rsid w:val="00B14D67"/>
    <w:rsid w:val="00B22B34"/>
    <w:rsid w:val="00B34DBB"/>
    <w:rsid w:val="00B34F2F"/>
    <w:rsid w:val="00B36210"/>
    <w:rsid w:val="00B37134"/>
    <w:rsid w:val="00B3796A"/>
    <w:rsid w:val="00B44FF9"/>
    <w:rsid w:val="00B47630"/>
    <w:rsid w:val="00B522C3"/>
    <w:rsid w:val="00B5398B"/>
    <w:rsid w:val="00B71886"/>
    <w:rsid w:val="00B766A4"/>
    <w:rsid w:val="00B820AA"/>
    <w:rsid w:val="00B82A7C"/>
    <w:rsid w:val="00B8312E"/>
    <w:rsid w:val="00B83AC5"/>
    <w:rsid w:val="00B86304"/>
    <w:rsid w:val="00BA14DF"/>
    <w:rsid w:val="00BA40E5"/>
    <w:rsid w:val="00BA51D5"/>
    <w:rsid w:val="00BA5F94"/>
    <w:rsid w:val="00BB3629"/>
    <w:rsid w:val="00BB4B37"/>
    <w:rsid w:val="00BC5DA9"/>
    <w:rsid w:val="00BD4C52"/>
    <w:rsid w:val="00BE19B4"/>
    <w:rsid w:val="00C00E97"/>
    <w:rsid w:val="00C04078"/>
    <w:rsid w:val="00C04BC6"/>
    <w:rsid w:val="00C05E93"/>
    <w:rsid w:val="00C127C0"/>
    <w:rsid w:val="00C1792B"/>
    <w:rsid w:val="00C30E5A"/>
    <w:rsid w:val="00C524CF"/>
    <w:rsid w:val="00C72484"/>
    <w:rsid w:val="00C873CC"/>
    <w:rsid w:val="00CA3BCB"/>
    <w:rsid w:val="00CB18D0"/>
    <w:rsid w:val="00CB1AF2"/>
    <w:rsid w:val="00CB1BA8"/>
    <w:rsid w:val="00CB22F7"/>
    <w:rsid w:val="00CC5965"/>
    <w:rsid w:val="00CC5FBF"/>
    <w:rsid w:val="00CF4D8A"/>
    <w:rsid w:val="00CF7A6B"/>
    <w:rsid w:val="00D103B6"/>
    <w:rsid w:val="00D123AC"/>
    <w:rsid w:val="00D25AF9"/>
    <w:rsid w:val="00D312DC"/>
    <w:rsid w:val="00D340A7"/>
    <w:rsid w:val="00D43BFD"/>
    <w:rsid w:val="00D445EF"/>
    <w:rsid w:val="00D61351"/>
    <w:rsid w:val="00D6311B"/>
    <w:rsid w:val="00D83632"/>
    <w:rsid w:val="00D9446A"/>
    <w:rsid w:val="00D95068"/>
    <w:rsid w:val="00DA0516"/>
    <w:rsid w:val="00DC0C5A"/>
    <w:rsid w:val="00DC5FDE"/>
    <w:rsid w:val="00DC651D"/>
    <w:rsid w:val="00DC7A30"/>
    <w:rsid w:val="00DD4164"/>
    <w:rsid w:val="00DE4322"/>
    <w:rsid w:val="00DF0B62"/>
    <w:rsid w:val="00DF2948"/>
    <w:rsid w:val="00DF4ED2"/>
    <w:rsid w:val="00DF541B"/>
    <w:rsid w:val="00E1187F"/>
    <w:rsid w:val="00E21B80"/>
    <w:rsid w:val="00E22934"/>
    <w:rsid w:val="00E235E9"/>
    <w:rsid w:val="00E3308A"/>
    <w:rsid w:val="00E34E1F"/>
    <w:rsid w:val="00E37D03"/>
    <w:rsid w:val="00E53787"/>
    <w:rsid w:val="00E56CEA"/>
    <w:rsid w:val="00E61577"/>
    <w:rsid w:val="00E6626F"/>
    <w:rsid w:val="00E67637"/>
    <w:rsid w:val="00E7047D"/>
    <w:rsid w:val="00E80FD3"/>
    <w:rsid w:val="00E81E5D"/>
    <w:rsid w:val="00E93E94"/>
    <w:rsid w:val="00E9603F"/>
    <w:rsid w:val="00EB5DDC"/>
    <w:rsid w:val="00EC4441"/>
    <w:rsid w:val="00EC716C"/>
    <w:rsid w:val="00ED0376"/>
    <w:rsid w:val="00ED44D4"/>
    <w:rsid w:val="00ED46D5"/>
    <w:rsid w:val="00EE08B9"/>
    <w:rsid w:val="00EE442E"/>
    <w:rsid w:val="00EE45DD"/>
    <w:rsid w:val="00EE620C"/>
    <w:rsid w:val="00EF180A"/>
    <w:rsid w:val="00EF4776"/>
    <w:rsid w:val="00F01E52"/>
    <w:rsid w:val="00F10F02"/>
    <w:rsid w:val="00F177A8"/>
    <w:rsid w:val="00F23F7C"/>
    <w:rsid w:val="00F4681E"/>
    <w:rsid w:val="00F515EA"/>
    <w:rsid w:val="00F52A38"/>
    <w:rsid w:val="00F61FAF"/>
    <w:rsid w:val="00F66D92"/>
    <w:rsid w:val="00F71FE0"/>
    <w:rsid w:val="00F77730"/>
    <w:rsid w:val="00F8094D"/>
    <w:rsid w:val="00F82B9E"/>
    <w:rsid w:val="00F90D29"/>
    <w:rsid w:val="00F948BE"/>
    <w:rsid w:val="00FA2168"/>
    <w:rsid w:val="00FB1F61"/>
    <w:rsid w:val="00FB440F"/>
    <w:rsid w:val="00FC07BE"/>
    <w:rsid w:val="00FC1076"/>
    <w:rsid w:val="00FC3EEB"/>
    <w:rsid w:val="00FE48D9"/>
    <w:rsid w:val="00FE608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B48A75"/>
  <w15:chartTrackingRefBased/>
  <w15:docId w15:val="{66FD51E6-832B-4B07-8512-AE71081D4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7630"/>
    <w:pPr>
      <w:spacing w:after="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B47630"/>
    <w:pPr>
      <w:outlineLvl w:val="0"/>
    </w:pPr>
    <w:rPr>
      <w:kern w:val="36"/>
    </w:rPr>
  </w:style>
  <w:style w:type="paragraph" w:styleId="Heading4">
    <w:name w:val="heading 4"/>
    <w:basedOn w:val="Normal"/>
    <w:next w:val="Normal"/>
    <w:link w:val="Heading4Char"/>
    <w:uiPriority w:val="9"/>
    <w:semiHidden/>
    <w:unhideWhenUsed/>
    <w:qFormat/>
    <w:rsid w:val="004A7C9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7630"/>
    <w:rPr>
      <w:rFonts w:ascii="Times New Roman" w:hAnsi="Times New Roman" w:cs="Times New Roman"/>
      <w:kern w:val="36"/>
      <w:sz w:val="24"/>
      <w:szCs w:val="24"/>
    </w:rPr>
  </w:style>
  <w:style w:type="character" w:styleId="Hyperlink">
    <w:name w:val="Hyperlink"/>
    <w:basedOn w:val="DefaultParagraphFont"/>
    <w:uiPriority w:val="99"/>
    <w:unhideWhenUsed/>
    <w:rsid w:val="00B47630"/>
    <w:rPr>
      <w:color w:val="0000FF"/>
      <w:u w:val="single"/>
    </w:rPr>
  </w:style>
  <w:style w:type="paragraph" w:styleId="NormalWeb">
    <w:name w:val="Normal (Web)"/>
    <w:basedOn w:val="Normal"/>
    <w:uiPriority w:val="99"/>
    <w:semiHidden/>
    <w:unhideWhenUsed/>
    <w:rsid w:val="00B47630"/>
    <w:pPr>
      <w:spacing w:before="100" w:beforeAutospacing="1" w:after="100" w:afterAutospacing="1"/>
    </w:pPr>
  </w:style>
  <w:style w:type="paragraph" w:customStyle="1" w:styleId="summary">
    <w:name w:val="summary"/>
    <w:basedOn w:val="Normal"/>
    <w:uiPriority w:val="99"/>
    <w:semiHidden/>
    <w:rsid w:val="00B47630"/>
    <w:pPr>
      <w:spacing w:before="100" w:beforeAutospacing="1" w:after="100" w:afterAutospacing="1"/>
    </w:pPr>
  </w:style>
  <w:style w:type="character" w:customStyle="1" w:styleId="es-button-border">
    <w:name w:val="es-button-border"/>
    <w:basedOn w:val="DefaultParagraphFont"/>
    <w:rsid w:val="00B47630"/>
  </w:style>
  <w:style w:type="character" w:styleId="Strong">
    <w:name w:val="Strong"/>
    <w:basedOn w:val="DefaultParagraphFont"/>
    <w:uiPriority w:val="22"/>
    <w:qFormat/>
    <w:rsid w:val="00B47630"/>
    <w:rPr>
      <w:b/>
      <w:bCs/>
    </w:rPr>
  </w:style>
  <w:style w:type="paragraph" w:styleId="CommentText">
    <w:name w:val="annotation text"/>
    <w:basedOn w:val="Normal"/>
    <w:link w:val="CommentTextChar"/>
    <w:uiPriority w:val="99"/>
    <w:unhideWhenUsed/>
    <w:rsid w:val="001B258F"/>
    <w:rPr>
      <w:rFonts w:eastAsiaTheme="minorEastAsia"/>
      <w:sz w:val="20"/>
      <w:szCs w:val="20"/>
    </w:rPr>
  </w:style>
  <w:style w:type="character" w:customStyle="1" w:styleId="CommentTextChar">
    <w:name w:val="Comment Text Char"/>
    <w:basedOn w:val="DefaultParagraphFont"/>
    <w:link w:val="CommentText"/>
    <w:uiPriority w:val="99"/>
    <w:rsid w:val="001B258F"/>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1B258F"/>
    <w:pPr>
      <w:bidi/>
      <w:spacing w:after="160" w:line="256" w:lineRule="auto"/>
      <w:ind w:left="720"/>
      <w:contextualSpacing/>
    </w:pPr>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1B258F"/>
    <w:rPr>
      <w:sz w:val="16"/>
      <w:szCs w:val="16"/>
    </w:rPr>
  </w:style>
  <w:style w:type="paragraph" w:styleId="BalloonText">
    <w:name w:val="Balloon Text"/>
    <w:basedOn w:val="Normal"/>
    <w:link w:val="BalloonTextChar"/>
    <w:uiPriority w:val="99"/>
    <w:semiHidden/>
    <w:unhideWhenUsed/>
    <w:rsid w:val="001B258F"/>
    <w:rPr>
      <w:rFonts w:ascii="Tahoma" w:hAnsi="Tahoma" w:cs="Tahoma"/>
      <w:sz w:val="18"/>
      <w:szCs w:val="18"/>
    </w:rPr>
  </w:style>
  <w:style w:type="character" w:customStyle="1" w:styleId="BalloonTextChar">
    <w:name w:val="Balloon Text Char"/>
    <w:basedOn w:val="DefaultParagraphFont"/>
    <w:link w:val="BalloonText"/>
    <w:uiPriority w:val="99"/>
    <w:semiHidden/>
    <w:rsid w:val="001B258F"/>
    <w:rPr>
      <w:rFonts w:ascii="Tahoma" w:hAnsi="Tahoma" w:cs="Tahoma"/>
      <w:sz w:val="18"/>
      <w:szCs w:val="18"/>
    </w:rPr>
  </w:style>
  <w:style w:type="paragraph" w:styleId="CommentSubject">
    <w:name w:val="annotation subject"/>
    <w:basedOn w:val="CommentText"/>
    <w:next w:val="CommentText"/>
    <w:link w:val="CommentSubjectChar"/>
    <w:uiPriority w:val="99"/>
    <w:semiHidden/>
    <w:unhideWhenUsed/>
    <w:rsid w:val="00C00E97"/>
    <w:rPr>
      <w:rFonts w:eastAsiaTheme="minorHAnsi"/>
      <w:b/>
      <w:bCs/>
    </w:rPr>
  </w:style>
  <w:style w:type="character" w:customStyle="1" w:styleId="CommentSubjectChar">
    <w:name w:val="Comment Subject Char"/>
    <w:basedOn w:val="CommentTextChar"/>
    <w:link w:val="CommentSubject"/>
    <w:uiPriority w:val="99"/>
    <w:semiHidden/>
    <w:rsid w:val="00C00E97"/>
    <w:rPr>
      <w:rFonts w:ascii="Times New Roman" w:eastAsiaTheme="minorEastAsia" w:hAnsi="Times New Roman" w:cs="Times New Roman"/>
      <w:b/>
      <w:bCs/>
      <w:sz w:val="20"/>
      <w:szCs w:val="20"/>
    </w:rPr>
  </w:style>
  <w:style w:type="paragraph" w:styleId="FootnoteText">
    <w:name w:val="footnote text"/>
    <w:basedOn w:val="Normal"/>
    <w:link w:val="FootnoteTextChar"/>
    <w:uiPriority w:val="99"/>
    <w:semiHidden/>
    <w:unhideWhenUsed/>
    <w:rsid w:val="00C00E97"/>
    <w:rPr>
      <w:sz w:val="20"/>
      <w:szCs w:val="20"/>
    </w:rPr>
  </w:style>
  <w:style w:type="character" w:customStyle="1" w:styleId="FootnoteTextChar">
    <w:name w:val="Footnote Text Char"/>
    <w:basedOn w:val="DefaultParagraphFont"/>
    <w:link w:val="FootnoteText"/>
    <w:uiPriority w:val="99"/>
    <w:semiHidden/>
    <w:rsid w:val="00C00E97"/>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C00E97"/>
    <w:rPr>
      <w:vertAlign w:val="superscript"/>
    </w:rPr>
  </w:style>
  <w:style w:type="paragraph" w:styleId="Header">
    <w:name w:val="header"/>
    <w:basedOn w:val="Normal"/>
    <w:link w:val="HeaderChar"/>
    <w:uiPriority w:val="99"/>
    <w:unhideWhenUsed/>
    <w:rsid w:val="006036C6"/>
    <w:pPr>
      <w:tabs>
        <w:tab w:val="center" w:pos="4153"/>
        <w:tab w:val="right" w:pos="8306"/>
      </w:tabs>
    </w:pPr>
  </w:style>
  <w:style w:type="character" w:customStyle="1" w:styleId="HeaderChar">
    <w:name w:val="Header Char"/>
    <w:basedOn w:val="DefaultParagraphFont"/>
    <w:link w:val="Header"/>
    <w:uiPriority w:val="99"/>
    <w:rsid w:val="006036C6"/>
    <w:rPr>
      <w:rFonts w:ascii="Times New Roman" w:hAnsi="Times New Roman" w:cs="Times New Roman"/>
      <w:sz w:val="24"/>
      <w:szCs w:val="24"/>
    </w:rPr>
  </w:style>
  <w:style w:type="paragraph" w:styleId="Footer">
    <w:name w:val="footer"/>
    <w:basedOn w:val="Normal"/>
    <w:link w:val="FooterChar"/>
    <w:uiPriority w:val="99"/>
    <w:unhideWhenUsed/>
    <w:rsid w:val="006036C6"/>
    <w:pPr>
      <w:tabs>
        <w:tab w:val="center" w:pos="4153"/>
        <w:tab w:val="right" w:pos="8306"/>
      </w:tabs>
    </w:pPr>
  </w:style>
  <w:style w:type="character" w:customStyle="1" w:styleId="FooterChar">
    <w:name w:val="Footer Char"/>
    <w:basedOn w:val="DefaultParagraphFont"/>
    <w:link w:val="Footer"/>
    <w:uiPriority w:val="99"/>
    <w:rsid w:val="006036C6"/>
    <w:rPr>
      <w:rFonts w:ascii="Times New Roman" w:hAnsi="Times New Roman" w:cs="Times New Roman"/>
      <w:sz w:val="24"/>
      <w:szCs w:val="24"/>
    </w:rPr>
  </w:style>
  <w:style w:type="character" w:customStyle="1" w:styleId="UnresolvedMention1">
    <w:name w:val="Unresolved Mention1"/>
    <w:basedOn w:val="DefaultParagraphFont"/>
    <w:uiPriority w:val="99"/>
    <w:semiHidden/>
    <w:unhideWhenUsed/>
    <w:rsid w:val="00820EAB"/>
    <w:rPr>
      <w:color w:val="605E5C"/>
      <w:shd w:val="clear" w:color="auto" w:fill="E1DFDD"/>
    </w:rPr>
  </w:style>
  <w:style w:type="character" w:styleId="FollowedHyperlink">
    <w:name w:val="FollowedHyperlink"/>
    <w:basedOn w:val="DefaultParagraphFont"/>
    <w:uiPriority w:val="99"/>
    <w:semiHidden/>
    <w:unhideWhenUsed/>
    <w:rsid w:val="003B4417"/>
    <w:rPr>
      <w:color w:val="954F72" w:themeColor="followedHyperlink"/>
      <w:u w:val="single"/>
    </w:rPr>
  </w:style>
  <w:style w:type="character" w:customStyle="1" w:styleId="UnresolvedMention2">
    <w:name w:val="Unresolved Mention2"/>
    <w:basedOn w:val="DefaultParagraphFont"/>
    <w:uiPriority w:val="99"/>
    <w:semiHidden/>
    <w:unhideWhenUsed/>
    <w:rsid w:val="00E37D03"/>
    <w:rPr>
      <w:color w:val="605E5C"/>
      <w:shd w:val="clear" w:color="auto" w:fill="E1DFDD"/>
    </w:rPr>
  </w:style>
  <w:style w:type="character" w:customStyle="1" w:styleId="Heading4Char">
    <w:name w:val="Heading 4 Char"/>
    <w:basedOn w:val="DefaultParagraphFont"/>
    <w:link w:val="Heading4"/>
    <w:uiPriority w:val="9"/>
    <w:semiHidden/>
    <w:rsid w:val="004A7C98"/>
    <w:rPr>
      <w:rFonts w:asciiTheme="majorHAnsi" w:eastAsiaTheme="majorEastAsia" w:hAnsiTheme="majorHAnsi" w:cstheme="majorBidi"/>
      <w:i/>
      <w:iCs/>
      <w:color w:val="2E74B5" w:themeColor="accent1" w:themeShade="BF"/>
      <w:sz w:val="24"/>
      <w:szCs w:val="24"/>
    </w:rPr>
  </w:style>
  <w:style w:type="character" w:customStyle="1" w:styleId="ListParagraphChar">
    <w:name w:val="List Paragraph Char"/>
    <w:basedOn w:val="DefaultParagraphFont"/>
    <w:link w:val="ListParagraph"/>
    <w:uiPriority w:val="34"/>
    <w:rsid w:val="004A7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89958">
      <w:bodyDiv w:val="1"/>
      <w:marLeft w:val="0"/>
      <w:marRight w:val="0"/>
      <w:marTop w:val="0"/>
      <w:marBottom w:val="0"/>
      <w:divBdr>
        <w:top w:val="none" w:sz="0" w:space="0" w:color="auto"/>
        <w:left w:val="none" w:sz="0" w:space="0" w:color="auto"/>
        <w:bottom w:val="none" w:sz="0" w:space="0" w:color="auto"/>
        <w:right w:val="none" w:sz="0" w:space="0" w:color="auto"/>
      </w:divBdr>
    </w:div>
    <w:div w:id="419063431">
      <w:bodyDiv w:val="1"/>
      <w:marLeft w:val="0"/>
      <w:marRight w:val="0"/>
      <w:marTop w:val="0"/>
      <w:marBottom w:val="0"/>
      <w:divBdr>
        <w:top w:val="none" w:sz="0" w:space="0" w:color="auto"/>
        <w:left w:val="none" w:sz="0" w:space="0" w:color="auto"/>
        <w:bottom w:val="none" w:sz="0" w:space="0" w:color="auto"/>
        <w:right w:val="none" w:sz="0" w:space="0" w:color="auto"/>
      </w:divBdr>
    </w:div>
    <w:div w:id="502666706">
      <w:bodyDiv w:val="1"/>
      <w:marLeft w:val="0"/>
      <w:marRight w:val="0"/>
      <w:marTop w:val="0"/>
      <w:marBottom w:val="0"/>
      <w:divBdr>
        <w:top w:val="none" w:sz="0" w:space="0" w:color="auto"/>
        <w:left w:val="none" w:sz="0" w:space="0" w:color="auto"/>
        <w:bottom w:val="none" w:sz="0" w:space="0" w:color="auto"/>
        <w:right w:val="none" w:sz="0" w:space="0" w:color="auto"/>
      </w:divBdr>
    </w:div>
    <w:div w:id="558790183">
      <w:bodyDiv w:val="1"/>
      <w:marLeft w:val="0"/>
      <w:marRight w:val="0"/>
      <w:marTop w:val="0"/>
      <w:marBottom w:val="0"/>
      <w:divBdr>
        <w:top w:val="none" w:sz="0" w:space="0" w:color="auto"/>
        <w:left w:val="none" w:sz="0" w:space="0" w:color="auto"/>
        <w:bottom w:val="none" w:sz="0" w:space="0" w:color="auto"/>
        <w:right w:val="none" w:sz="0" w:space="0" w:color="auto"/>
      </w:divBdr>
    </w:div>
    <w:div w:id="562954988">
      <w:bodyDiv w:val="1"/>
      <w:marLeft w:val="0"/>
      <w:marRight w:val="0"/>
      <w:marTop w:val="0"/>
      <w:marBottom w:val="0"/>
      <w:divBdr>
        <w:top w:val="none" w:sz="0" w:space="0" w:color="auto"/>
        <w:left w:val="none" w:sz="0" w:space="0" w:color="auto"/>
        <w:bottom w:val="none" w:sz="0" w:space="0" w:color="auto"/>
        <w:right w:val="none" w:sz="0" w:space="0" w:color="auto"/>
      </w:divBdr>
    </w:div>
    <w:div w:id="908808227">
      <w:bodyDiv w:val="1"/>
      <w:marLeft w:val="0"/>
      <w:marRight w:val="0"/>
      <w:marTop w:val="0"/>
      <w:marBottom w:val="0"/>
      <w:divBdr>
        <w:top w:val="none" w:sz="0" w:space="0" w:color="auto"/>
        <w:left w:val="none" w:sz="0" w:space="0" w:color="auto"/>
        <w:bottom w:val="none" w:sz="0" w:space="0" w:color="auto"/>
        <w:right w:val="none" w:sz="0" w:space="0" w:color="auto"/>
      </w:divBdr>
    </w:div>
    <w:div w:id="948006707">
      <w:bodyDiv w:val="1"/>
      <w:marLeft w:val="0"/>
      <w:marRight w:val="0"/>
      <w:marTop w:val="0"/>
      <w:marBottom w:val="0"/>
      <w:divBdr>
        <w:top w:val="none" w:sz="0" w:space="0" w:color="auto"/>
        <w:left w:val="none" w:sz="0" w:space="0" w:color="auto"/>
        <w:bottom w:val="none" w:sz="0" w:space="0" w:color="auto"/>
        <w:right w:val="none" w:sz="0" w:space="0" w:color="auto"/>
      </w:divBdr>
    </w:div>
    <w:div w:id="1072193658">
      <w:bodyDiv w:val="1"/>
      <w:marLeft w:val="0"/>
      <w:marRight w:val="0"/>
      <w:marTop w:val="0"/>
      <w:marBottom w:val="0"/>
      <w:divBdr>
        <w:top w:val="none" w:sz="0" w:space="0" w:color="auto"/>
        <w:left w:val="none" w:sz="0" w:space="0" w:color="auto"/>
        <w:bottom w:val="none" w:sz="0" w:space="0" w:color="auto"/>
        <w:right w:val="none" w:sz="0" w:space="0" w:color="auto"/>
      </w:divBdr>
    </w:div>
    <w:div w:id="1214073053">
      <w:bodyDiv w:val="1"/>
      <w:marLeft w:val="0"/>
      <w:marRight w:val="0"/>
      <w:marTop w:val="0"/>
      <w:marBottom w:val="0"/>
      <w:divBdr>
        <w:top w:val="none" w:sz="0" w:space="0" w:color="auto"/>
        <w:left w:val="none" w:sz="0" w:space="0" w:color="auto"/>
        <w:bottom w:val="none" w:sz="0" w:space="0" w:color="auto"/>
        <w:right w:val="none" w:sz="0" w:space="0" w:color="auto"/>
      </w:divBdr>
    </w:div>
    <w:div w:id="199964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175C4-9492-43E0-AEE5-84397D719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860</Words>
  <Characters>4303</Characters>
  <Application>Microsoft Office Word</Application>
  <DocSecurity>0</DocSecurity>
  <Lines>35</Lines>
  <Paragraphs>10</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Elad Mekdasi</dc:creator>
  <cp:keywords/>
  <dc:description/>
  <cp:lastModifiedBy>Eyal Shapira</cp:lastModifiedBy>
  <cp:revision>10</cp:revision>
  <cp:lastPrinted>2021-07-26T12:15:00Z</cp:lastPrinted>
  <dcterms:created xsi:type="dcterms:W3CDTF">2024-08-28T09:44:00Z</dcterms:created>
  <dcterms:modified xsi:type="dcterms:W3CDTF">2024-11-21T14:51:00Z</dcterms:modified>
</cp:coreProperties>
</file>